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A014F" w14:paraId="374308C9" w14:textId="77777777">
        <w:trPr>
          <w:cantSplit/>
          <w:trHeight w:hRule="exact" w:val="851"/>
        </w:trPr>
        <w:tc>
          <w:tcPr>
            <w:tcW w:w="1276" w:type="dxa"/>
            <w:tcBorders>
              <w:bottom w:val="single" w:sz="4" w:space="0" w:color="auto"/>
            </w:tcBorders>
            <w:vAlign w:val="bottom"/>
          </w:tcPr>
          <w:p w14:paraId="56796ECE" w14:textId="77777777" w:rsidR="006A4374" w:rsidRDefault="006A4374">
            <w:pPr>
              <w:spacing w:after="80"/>
            </w:pPr>
          </w:p>
        </w:tc>
        <w:tc>
          <w:tcPr>
            <w:tcW w:w="2268" w:type="dxa"/>
            <w:tcBorders>
              <w:bottom w:val="single" w:sz="4" w:space="0" w:color="auto"/>
            </w:tcBorders>
            <w:vAlign w:val="bottom"/>
          </w:tcPr>
          <w:p w14:paraId="0B9CB20D" w14:textId="22D5810C" w:rsidR="006A4374" w:rsidRDefault="006A4374">
            <w:pPr>
              <w:spacing w:after="80" w:line="300" w:lineRule="exact"/>
              <w:rPr>
                <w:b/>
                <w:sz w:val="24"/>
                <w:szCs w:val="24"/>
              </w:rPr>
            </w:pPr>
          </w:p>
        </w:tc>
        <w:tc>
          <w:tcPr>
            <w:tcW w:w="6095" w:type="dxa"/>
            <w:gridSpan w:val="2"/>
            <w:tcBorders>
              <w:bottom w:val="single" w:sz="4" w:space="0" w:color="auto"/>
            </w:tcBorders>
            <w:vAlign w:val="bottom"/>
          </w:tcPr>
          <w:p w14:paraId="15674EB4" w14:textId="1493C352" w:rsidR="006A4374" w:rsidRDefault="00CA04C3">
            <w:pPr>
              <w:suppressAutoHyphens w:val="0"/>
              <w:spacing w:after="20"/>
              <w:jc w:val="right"/>
            </w:pPr>
            <w:r>
              <w:rPr>
                <w:sz w:val="40"/>
              </w:rPr>
              <w:t>E</w:t>
            </w:r>
            <w:r w:rsidR="00A3036E">
              <w:t>/C.12/BHR/CO/</w:t>
            </w:r>
            <w:r>
              <w:t>1</w:t>
            </w:r>
          </w:p>
        </w:tc>
      </w:tr>
      <w:tr w:rsidR="00BA014F" w14:paraId="1F73CC12" w14:textId="77777777">
        <w:trPr>
          <w:cantSplit/>
          <w:trHeight w:hRule="exact" w:val="2835"/>
        </w:trPr>
        <w:tc>
          <w:tcPr>
            <w:tcW w:w="1276" w:type="dxa"/>
            <w:tcBorders>
              <w:top w:val="single" w:sz="4" w:space="0" w:color="auto"/>
              <w:bottom w:val="single" w:sz="12" w:space="0" w:color="auto"/>
            </w:tcBorders>
          </w:tcPr>
          <w:p w14:paraId="21B4E61B" w14:textId="5D3CFF56" w:rsidR="006A4374" w:rsidRDefault="006A4374">
            <w:pPr>
              <w:spacing w:before="120"/>
              <w:jc w:val="center"/>
            </w:pPr>
          </w:p>
        </w:tc>
        <w:tc>
          <w:tcPr>
            <w:tcW w:w="5528" w:type="dxa"/>
            <w:gridSpan w:val="2"/>
            <w:tcBorders>
              <w:top w:val="single" w:sz="4" w:space="0" w:color="auto"/>
              <w:bottom w:val="single" w:sz="12" w:space="0" w:color="auto"/>
            </w:tcBorders>
          </w:tcPr>
          <w:p w14:paraId="33EC608B" w14:textId="3FD7EC0D" w:rsidR="006A4374" w:rsidRDefault="0081400F">
            <w:pPr>
              <w:spacing w:before="120" w:line="380" w:lineRule="exact"/>
            </w:pPr>
            <w:r>
              <w:t>ADVANCE UNEDITED VERSION</w:t>
            </w:r>
          </w:p>
        </w:tc>
        <w:tc>
          <w:tcPr>
            <w:tcW w:w="2835" w:type="dxa"/>
            <w:tcBorders>
              <w:top w:val="single" w:sz="4" w:space="0" w:color="auto"/>
              <w:bottom w:val="single" w:sz="12" w:space="0" w:color="auto"/>
            </w:tcBorders>
          </w:tcPr>
          <w:p w14:paraId="0E4079F5" w14:textId="3C47154A" w:rsidR="006A4374" w:rsidRPr="00CA04C3" w:rsidRDefault="00CA04C3">
            <w:pPr>
              <w:suppressAutoHyphens w:val="0"/>
              <w:spacing w:before="240" w:line="240" w:lineRule="exact"/>
            </w:pPr>
            <w:r w:rsidRPr="00CA04C3">
              <w:t xml:space="preserve">Distr.: </w:t>
            </w:r>
            <w:r w:rsidR="00A3036E">
              <w:t>General</w:t>
            </w:r>
          </w:p>
          <w:p w14:paraId="5A936E17" w14:textId="24FE799F" w:rsidR="006A4374" w:rsidRPr="00CA04C3" w:rsidRDefault="00A3036E">
            <w:pPr>
              <w:suppressAutoHyphens w:val="0"/>
            </w:pPr>
            <w:r>
              <w:t>4</w:t>
            </w:r>
            <w:r w:rsidR="00951595">
              <w:t xml:space="preserve"> March</w:t>
            </w:r>
            <w:r>
              <w:t xml:space="preserve"> </w:t>
            </w:r>
            <w:r w:rsidR="00CA04C3" w:rsidRPr="00CA04C3">
              <w:t>2022</w:t>
            </w:r>
          </w:p>
          <w:p w14:paraId="64F34A23" w14:textId="77777777" w:rsidR="006A4374" w:rsidRPr="00CA04C3" w:rsidRDefault="006A4374">
            <w:pPr>
              <w:suppressAutoHyphens w:val="0"/>
            </w:pPr>
          </w:p>
          <w:p w14:paraId="3728488B" w14:textId="6980FF6A" w:rsidR="006A4374" w:rsidRPr="00CA04C3" w:rsidRDefault="00CA04C3">
            <w:pPr>
              <w:suppressAutoHyphens w:val="0"/>
            </w:pPr>
            <w:r w:rsidRPr="00CA04C3">
              <w:t>Original: English</w:t>
            </w:r>
          </w:p>
        </w:tc>
      </w:tr>
    </w:tbl>
    <w:p w14:paraId="3868A4A2" w14:textId="77777777" w:rsidR="006A4374" w:rsidRDefault="00CA04C3">
      <w:pPr>
        <w:spacing w:before="120"/>
        <w:rPr>
          <w:b/>
          <w:sz w:val="24"/>
        </w:rPr>
      </w:pPr>
      <w:r>
        <w:rPr>
          <w:b/>
          <w:sz w:val="24"/>
        </w:rPr>
        <w:t>Committee on Economic, Social and Cultural Rights</w:t>
      </w:r>
    </w:p>
    <w:p w14:paraId="60DC017B" w14:textId="0D28FEA4" w:rsidR="006A4374" w:rsidRDefault="00CA04C3" w:rsidP="00EE27DE">
      <w:pPr>
        <w:pStyle w:val="HMG"/>
      </w:pPr>
      <w:r>
        <w:tab/>
      </w:r>
      <w:r>
        <w:tab/>
        <w:t>Concluding observations on the initial report of Bahrain</w:t>
      </w:r>
      <w:r w:rsidR="00A3036E" w:rsidRPr="00C96719">
        <w:rPr>
          <w:rStyle w:val="FootnoteReference"/>
          <w:b w:val="0"/>
          <w:bCs/>
          <w:sz w:val="20"/>
        </w:rPr>
        <w:footnoteReference w:customMarkFollows="1" w:id="2"/>
        <w:t>*</w:t>
      </w:r>
    </w:p>
    <w:p w14:paraId="5AFDD4F7" w14:textId="6200F032" w:rsidR="005A1FEA" w:rsidRPr="00622C45" w:rsidRDefault="005D686B" w:rsidP="00E42C23">
      <w:pPr>
        <w:pStyle w:val="SingleTxtG"/>
        <w:numPr>
          <w:ilvl w:val="0"/>
          <w:numId w:val="24"/>
        </w:numPr>
        <w:tabs>
          <w:tab w:val="clear" w:pos="1701"/>
          <w:tab w:val="clear" w:pos="2268"/>
          <w:tab w:val="clear" w:pos="2835"/>
        </w:tabs>
        <w:ind w:left="1134" w:firstLine="0"/>
      </w:pPr>
      <w:r w:rsidRPr="00622C45">
        <w:t>The Committee considered the initial report of Bahrain</w:t>
      </w:r>
      <w:r w:rsidR="005A1FEA">
        <w:rPr>
          <w:rStyle w:val="FootnoteReference"/>
        </w:rPr>
        <w:footnoteReference w:id="3"/>
      </w:r>
      <w:r w:rsidRPr="00622C45">
        <w:t xml:space="preserve"> at its 18</w:t>
      </w:r>
      <w:r w:rsidRPr="005A1FEA">
        <w:rPr>
          <w:vertAlign w:val="superscript"/>
        </w:rPr>
        <w:t>th</w:t>
      </w:r>
      <w:r w:rsidRPr="00622C45">
        <w:t>, 19</w:t>
      </w:r>
      <w:r w:rsidRPr="005A1FEA">
        <w:rPr>
          <w:vertAlign w:val="superscript"/>
        </w:rPr>
        <w:t>th</w:t>
      </w:r>
      <w:r w:rsidRPr="00622C45">
        <w:t xml:space="preserve"> and 20</w:t>
      </w:r>
      <w:r w:rsidRPr="005A1FEA">
        <w:rPr>
          <w:vertAlign w:val="superscript"/>
        </w:rPr>
        <w:t>th</w:t>
      </w:r>
      <w:r w:rsidR="005A1FEA">
        <w:t xml:space="preserve"> meetings</w:t>
      </w:r>
      <w:r w:rsidRPr="00622C45">
        <w:t>,</w:t>
      </w:r>
      <w:r w:rsidR="005A1FEA">
        <w:rPr>
          <w:rStyle w:val="FootnoteReference"/>
        </w:rPr>
        <w:footnoteReference w:id="4"/>
      </w:r>
      <w:r w:rsidRPr="00622C45">
        <w:t xml:space="preserve"> held on 24 and 25 February 2022, and adopted the present concluding observations at its 30</w:t>
      </w:r>
      <w:r w:rsidRPr="005A1FEA">
        <w:rPr>
          <w:vertAlign w:val="superscript"/>
        </w:rPr>
        <w:t>th</w:t>
      </w:r>
      <w:r w:rsidRPr="00622C45">
        <w:t xml:space="preserve"> meeting on 4 March 2022.</w:t>
      </w:r>
    </w:p>
    <w:p w14:paraId="7A34F402" w14:textId="77777777" w:rsidR="005D686B" w:rsidRPr="00552450" w:rsidRDefault="005D686B" w:rsidP="005D686B">
      <w:pPr>
        <w:pStyle w:val="H1G"/>
      </w:pPr>
      <w:r w:rsidRPr="00552450">
        <w:tab/>
        <w:t>A.</w:t>
      </w:r>
      <w:r w:rsidRPr="00552450">
        <w:tab/>
        <w:t>Introduction</w:t>
      </w:r>
    </w:p>
    <w:p w14:paraId="5C81DF18" w14:textId="21214238" w:rsidR="005D686B" w:rsidRDefault="005D686B" w:rsidP="005D686B">
      <w:pPr>
        <w:pStyle w:val="SingleTxtG"/>
        <w:numPr>
          <w:ilvl w:val="0"/>
          <w:numId w:val="24"/>
        </w:numPr>
        <w:tabs>
          <w:tab w:val="clear" w:pos="1701"/>
          <w:tab w:val="clear" w:pos="2268"/>
          <w:tab w:val="clear" w:pos="2835"/>
        </w:tabs>
        <w:ind w:left="1134" w:firstLine="0"/>
      </w:pPr>
      <w:r w:rsidRPr="00552450">
        <w:t xml:space="preserve">The Committee welcomes the submission of the initial report by the State party, albeit with 10 years delay. The Committee appreciates the constructive dialogue with the State </w:t>
      </w:r>
      <w:proofErr w:type="gramStart"/>
      <w:r w:rsidRPr="00552450">
        <w:t>party’s</w:t>
      </w:r>
      <w:proofErr w:type="gramEnd"/>
      <w:r w:rsidRPr="00552450">
        <w:t xml:space="preserve"> </w:t>
      </w:r>
      <w:r w:rsidRPr="0090213E">
        <w:t>delegation</w:t>
      </w:r>
      <w:r>
        <w:t>.</w:t>
      </w:r>
    </w:p>
    <w:p w14:paraId="7D588AFC" w14:textId="77777777" w:rsidR="005D686B" w:rsidRDefault="005D686B" w:rsidP="005D686B">
      <w:pPr>
        <w:pStyle w:val="H1G"/>
      </w:pPr>
      <w:r>
        <w:tab/>
        <w:t>B.</w:t>
      </w:r>
      <w:r>
        <w:tab/>
        <w:t>Positive aspects</w:t>
      </w:r>
    </w:p>
    <w:p w14:paraId="48D8DBA2" w14:textId="77777777" w:rsidR="005D686B" w:rsidRDefault="005D686B" w:rsidP="005D686B">
      <w:pPr>
        <w:pStyle w:val="SingleTxtG"/>
        <w:numPr>
          <w:ilvl w:val="0"/>
          <w:numId w:val="24"/>
        </w:numPr>
        <w:tabs>
          <w:tab w:val="clear" w:pos="1701"/>
          <w:tab w:val="clear" w:pos="2268"/>
          <w:tab w:val="clear" w:pos="2835"/>
        </w:tabs>
        <w:ind w:left="1134" w:firstLine="0"/>
      </w:pPr>
      <w:r w:rsidRPr="005C7F7B">
        <w:t xml:space="preserve">The </w:t>
      </w:r>
      <w:r w:rsidRPr="00D67BAC">
        <w:t xml:space="preserve">Committee welcomes the legislative, institutional and policy measures taken by the State party to enhance the realization of economic, social and cultural rights, as referred to in the present concluding observations. </w:t>
      </w:r>
      <w:r w:rsidRPr="00C2710E">
        <w:rPr>
          <w:rFonts w:eastAsia="Malgun Gothic" w:hint="eastAsia"/>
          <w:lang w:eastAsia="ko-KR"/>
        </w:rPr>
        <w:t>In particular, the Committee welcomes</w:t>
      </w:r>
      <w:r w:rsidRPr="00C2710E">
        <w:rPr>
          <w:rFonts w:eastAsia="Malgun Gothic"/>
          <w:lang w:eastAsia="ko-KR"/>
        </w:rPr>
        <w:t xml:space="preserve"> the establishment of </w:t>
      </w:r>
      <w:r>
        <w:rPr>
          <w:rFonts w:eastAsia="Malgun Gothic"/>
          <w:lang w:eastAsia="ko-KR"/>
        </w:rPr>
        <w:t>a</w:t>
      </w:r>
      <w:r w:rsidRPr="00C2710E">
        <w:rPr>
          <w:rFonts w:eastAsia="Malgun Gothic"/>
          <w:lang w:eastAsia="ko-KR"/>
        </w:rPr>
        <w:t xml:space="preserve"> national human rights institution, and the adoption of various labour laws and regulations.</w:t>
      </w:r>
      <w:r>
        <w:rPr>
          <w:rFonts w:eastAsia="Malgun Gothic"/>
          <w:lang w:eastAsia="ko-KR"/>
        </w:rPr>
        <w:t xml:space="preserve"> </w:t>
      </w:r>
      <w:r w:rsidRPr="00D67BAC">
        <w:t xml:space="preserve">It </w:t>
      </w:r>
      <w:r>
        <w:t>further welcomes</w:t>
      </w:r>
      <w:r w:rsidRPr="00D67BAC">
        <w:t xml:space="preserve"> </w:t>
      </w:r>
      <w:r>
        <w:t>the ratification of the Convention on the Rights of Persons with Disabilities, on 22 September 2011.</w:t>
      </w:r>
    </w:p>
    <w:p w14:paraId="426EB9E2" w14:textId="77777777" w:rsidR="005D686B" w:rsidRDefault="005D686B" w:rsidP="005D686B">
      <w:pPr>
        <w:pStyle w:val="H1G"/>
      </w:pPr>
      <w:r>
        <w:tab/>
        <w:t>C.</w:t>
      </w:r>
      <w:r>
        <w:tab/>
        <w:t>Principal subjects of concern and recommendations</w:t>
      </w:r>
    </w:p>
    <w:p w14:paraId="2CDDD963" w14:textId="77777777" w:rsidR="005D686B" w:rsidRPr="00FA2BBE" w:rsidRDefault="005D686B" w:rsidP="005D686B">
      <w:pPr>
        <w:pStyle w:val="H23G"/>
        <w:tabs>
          <w:tab w:val="clear" w:pos="851"/>
        </w:tabs>
        <w:ind w:firstLine="0"/>
      </w:pPr>
      <w:r w:rsidRPr="00FA2BBE">
        <w:t>Domestic application of the Covenant</w:t>
      </w:r>
    </w:p>
    <w:p w14:paraId="55E96CFA" w14:textId="77777777" w:rsidR="005D686B" w:rsidRDefault="005D686B" w:rsidP="005D686B">
      <w:pPr>
        <w:pStyle w:val="SingleTxtG"/>
        <w:numPr>
          <w:ilvl w:val="0"/>
          <w:numId w:val="24"/>
        </w:numPr>
        <w:tabs>
          <w:tab w:val="clear" w:pos="1701"/>
          <w:tab w:val="clear" w:pos="2268"/>
          <w:tab w:val="clear" w:pos="2835"/>
        </w:tabs>
        <w:ind w:left="1134" w:firstLine="0"/>
      </w:pPr>
      <w:r>
        <w:t>While noting that the Covenant forms an integral part of the State party’s domestic legal system, t</w:t>
      </w:r>
      <w:r w:rsidRPr="005C7F7B">
        <w:t xml:space="preserve">he </w:t>
      </w:r>
      <w:r w:rsidRPr="00D67BAC">
        <w:t>Committee</w:t>
      </w:r>
      <w:r>
        <w:t xml:space="preserve"> regrets the lack of information on how potential conflicts between domestic laws and the Covenant are resolved. It also regrets the lack of information on </w:t>
      </w:r>
      <w:r w:rsidRPr="00DC4C85">
        <w:t>examples of cases in which the</w:t>
      </w:r>
      <w:r>
        <w:t xml:space="preserve"> provisions of the Covenant </w:t>
      </w:r>
      <w:proofErr w:type="gramStart"/>
      <w:r>
        <w:t>have</w:t>
      </w:r>
      <w:r w:rsidRPr="00DC4C85">
        <w:t xml:space="preserve"> been </w:t>
      </w:r>
      <w:r>
        <w:t xml:space="preserve">invoked by individuals and/or </w:t>
      </w:r>
      <w:r w:rsidRPr="00DC4C85">
        <w:t>applied by domestic court</w:t>
      </w:r>
      <w:r>
        <w:t>s (art. 2(1))</w:t>
      </w:r>
      <w:proofErr w:type="gramEnd"/>
      <w:r>
        <w:t>.</w:t>
      </w:r>
    </w:p>
    <w:p w14:paraId="77068DA1" w14:textId="77777777" w:rsidR="005D686B" w:rsidRPr="00096142" w:rsidRDefault="005D686B" w:rsidP="005D686B">
      <w:pPr>
        <w:pStyle w:val="SingleTxtG"/>
        <w:numPr>
          <w:ilvl w:val="0"/>
          <w:numId w:val="24"/>
        </w:numPr>
        <w:tabs>
          <w:tab w:val="clear" w:pos="1701"/>
          <w:tab w:val="clear" w:pos="2268"/>
          <w:tab w:val="clear" w:pos="2835"/>
        </w:tabs>
        <w:ind w:left="1134" w:firstLine="0"/>
        <w:rPr>
          <w:b/>
        </w:rPr>
      </w:pPr>
      <w:r w:rsidRPr="000C039E">
        <w:rPr>
          <w:b/>
        </w:rPr>
        <w:t xml:space="preserve">The Committee recommends that the State party ensure that the rights enshrined in the Covenant </w:t>
      </w:r>
      <w:proofErr w:type="gramStart"/>
      <w:r w:rsidRPr="000C039E">
        <w:rPr>
          <w:b/>
        </w:rPr>
        <w:t>are fully incorporated</w:t>
      </w:r>
      <w:proofErr w:type="gramEnd"/>
      <w:r w:rsidRPr="000C039E">
        <w:rPr>
          <w:b/>
        </w:rPr>
        <w:t xml:space="preserve"> in its domestic legislation and that the provisions of the Covenant take precedence in potential conflicts with domestic laws. It also recommends that the State party raise awareness of the Covenant and of the justiciability of economic, social and cultural rights among members of the judicial </w:t>
      </w:r>
      <w:r w:rsidRPr="000C039E">
        <w:rPr>
          <w:b/>
        </w:rPr>
        <w:lastRenderedPageBreak/>
        <w:t xml:space="preserve">branch and the </w:t>
      </w:r>
      <w:proofErr w:type="gramStart"/>
      <w:r w:rsidRPr="000C039E">
        <w:rPr>
          <w:b/>
        </w:rPr>
        <w:t>general public</w:t>
      </w:r>
      <w:proofErr w:type="gramEnd"/>
      <w:r w:rsidRPr="000C039E">
        <w:rPr>
          <w:b/>
        </w:rPr>
        <w:t xml:space="preserve">. The Committee draws the State party’s attention to its general comment </w:t>
      </w:r>
      <w:r w:rsidRPr="00096142">
        <w:rPr>
          <w:b/>
        </w:rPr>
        <w:t>No. 9 (1998) on the domestic application of the Covenant.</w:t>
      </w:r>
    </w:p>
    <w:p w14:paraId="51745F62" w14:textId="77777777" w:rsidR="005D686B" w:rsidRPr="00FA2BBE" w:rsidRDefault="005D686B" w:rsidP="005D686B">
      <w:pPr>
        <w:pStyle w:val="H23G"/>
        <w:tabs>
          <w:tab w:val="clear" w:pos="851"/>
        </w:tabs>
        <w:ind w:firstLine="0"/>
      </w:pPr>
      <w:r w:rsidRPr="00096142">
        <w:t>National human rights institution</w:t>
      </w:r>
    </w:p>
    <w:p w14:paraId="787C2337" w14:textId="77777777" w:rsidR="005D686B" w:rsidRPr="00C961B0" w:rsidRDefault="005D686B" w:rsidP="005D686B">
      <w:pPr>
        <w:pStyle w:val="SingleTxtG"/>
        <w:numPr>
          <w:ilvl w:val="0"/>
          <w:numId w:val="24"/>
        </w:numPr>
        <w:tabs>
          <w:tab w:val="clear" w:pos="1701"/>
          <w:tab w:val="clear" w:pos="2268"/>
          <w:tab w:val="clear" w:pos="2835"/>
        </w:tabs>
        <w:ind w:left="1134" w:firstLine="0"/>
      </w:pPr>
      <w:r>
        <w:t>While noting the legislative measures taken by the State party to strengthen the National Institution for Human Rights,</w:t>
      </w:r>
      <w:r w:rsidRPr="00C961B0">
        <w:t xml:space="preserve"> </w:t>
      </w:r>
      <w:r>
        <w:t>t</w:t>
      </w:r>
      <w:r w:rsidRPr="00C961B0">
        <w:t xml:space="preserve">he Committee </w:t>
      </w:r>
      <w:r>
        <w:t>is concerned</w:t>
      </w:r>
      <w:r w:rsidRPr="00C961B0">
        <w:t xml:space="preserve"> that the </w:t>
      </w:r>
      <w:r>
        <w:t xml:space="preserve">institution has not yet attained the independence to perform its functions. The Committee also regrets the lack of information </w:t>
      </w:r>
      <w:r w:rsidRPr="00C961B0">
        <w:t xml:space="preserve">with regard to </w:t>
      </w:r>
      <w:r>
        <w:t xml:space="preserve">complaints of </w:t>
      </w:r>
      <w:r w:rsidRPr="00C961B0">
        <w:t>economic, social and cultural rights violations</w:t>
      </w:r>
      <w:r>
        <w:t xml:space="preserve"> it has received and investigations carried out in response</w:t>
      </w:r>
      <w:r w:rsidRPr="00C961B0">
        <w:t xml:space="preserve"> (art. 2(1)).</w:t>
      </w:r>
    </w:p>
    <w:p w14:paraId="4D5FF568" w14:textId="77777777" w:rsidR="005D686B" w:rsidRPr="0086625E" w:rsidRDefault="005D686B" w:rsidP="005D686B">
      <w:pPr>
        <w:pStyle w:val="SingleTxtG"/>
        <w:numPr>
          <w:ilvl w:val="0"/>
          <w:numId w:val="24"/>
        </w:numPr>
        <w:tabs>
          <w:tab w:val="clear" w:pos="1701"/>
          <w:tab w:val="clear" w:pos="2268"/>
          <w:tab w:val="clear" w:pos="2835"/>
        </w:tabs>
        <w:ind w:left="1134" w:firstLine="0"/>
        <w:rPr>
          <w:b/>
        </w:rPr>
      </w:pPr>
      <w:r w:rsidRPr="0086625E">
        <w:rPr>
          <w:b/>
        </w:rPr>
        <w:t>The Committee recommends that the State party continue to strengthen the independence of the National Institution for Human Rights to ensure its full compliance with the principles relating to the status of national institutions for the promotion and protection of human rights (the Paris Principles) and is able to carry out its mandate fully, effectively and independently. The Committee also requests that the State party provide information in its next periodic report on the complaints of economic, social and cultural rights violations received and considered by the National Institution for Human Rights.</w:t>
      </w:r>
    </w:p>
    <w:p w14:paraId="75567D81" w14:textId="77777777" w:rsidR="005D686B" w:rsidRDefault="005D686B" w:rsidP="005D686B">
      <w:pPr>
        <w:pStyle w:val="H23G"/>
        <w:tabs>
          <w:tab w:val="clear" w:pos="851"/>
        </w:tabs>
        <w:ind w:firstLine="0"/>
      </w:pPr>
      <w:r>
        <w:t>Civil society</w:t>
      </w:r>
    </w:p>
    <w:p w14:paraId="1219BF31" w14:textId="161BA747" w:rsidR="005D686B" w:rsidRPr="00A20C1E" w:rsidRDefault="005D686B" w:rsidP="003539F7">
      <w:pPr>
        <w:pStyle w:val="SingleTxtG"/>
        <w:numPr>
          <w:ilvl w:val="0"/>
          <w:numId w:val="24"/>
        </w:numPr>
        <w:tabs>
          <w:tab w:val="clear" w:pos="1701"/>
          <w:tab w:val="clear" w:pos="2268"/>
          <w:tab w:val="clear" w:pos="2835"/>
        </w:tabs>
        <w:ind w:left="1134" w:firstLine="0"/>
        <w:rPr>
          <w:lang w:val="en-US"/>
        </w:rPr>
      </w:pPr>
      <w:r w:rsidRPr="00655B8D">
        <w:t>The Committee</w:t>
      </w:r>
      <w:r>
        <w:t xml:space="preserve"> is concerned about the reports of harassment, </w:t>
      </w:r>
      <w:r w:rsidRPr="004F0503">
        <w:t xml:space="preserve">intimidation </w:t>
      </w:r>
      <w:r>
        <w:t>and reprisals</w:t>
      </w:r>
      <w:r w:rsidRPr="004F0503">
        <w:t xml:space="preserve"> </w:t>
      </w:r>
      <w:r>
        <w:t xml:space="preserve">against </w:t>
      </w:r>
      <w:r w:rsidRPr="004F0503">
        <w:t xml:space="preserve">human rights </w:t>
      </w:r>
      <w:proofErr w:type="gramStart"/>
      <w:r w:rsidRPr="004F0503">
        <w:t>defenders</w:t>
      </w:r>
      <w:r>
        <w:t>,</w:t>
      </w:r>
      <w:proofErr w:type="gramEnd"/>
      <w:r>
        <w:t xml:space="preserve"> including </w:t>
      </w:r>
      <w:r w:rsidRPr="004F0503">
        <w:t>those working on economic, social and cultural rights</w:t>
      </w:r>
      <w:r>
        <w:t xml:space="preserve"> and social justice</w:t>
      </w:r>
      <w:r w:rsidRPr="004F0503">
        <w:t xml:space="preserve">, </w:t>
      </w:r>
      <w:r>
        <w:t>and that they</w:t>
      </w:r>
      <w:r w:rsidRPr="000746D0">
        <w:t xml:space="preserve"> </w:t>
      </w:r>
      <w:r>
        <w:t>face retaliation such as nationality deprivation, suspensions and downgrading of professional positions in the public and private sectors, as well as</w:t>
      </w:r>
      <w:r w:rsidRPr="000746D0">
        <w:t xml:space="preserve"> police and judicial harassment, including arbitrary detention</w:t>
      </w:r>
      <w:r>
        <w:t xml:space="preserve">. </w:t>
      </w:r>
      <w:proofErr w:type="gramStart"/>
      <w:r w:rsidRPr="00A20C1E">
        <w:rPr>
          <w:lang w:val="en-US"/>
        </w:rPr>
        <w:t>The Committee is particularly concerned about the lack of information regarding the situation of several human rights defenders, including</w:t>
      </w:r>
      <w:r w:rsidR="007A38A3">
        <w:t xml:space="preserve"> Mr. </w:t>
      </w:r>
      <w:proofErr w:type="spellStart"/>
      <w:r w:rsidR="007A38A3">
        <w:t>Abduljalil</w:t>
      </w:r>
      <w:proofErr w:type="spellEnd"/>
      <w:r w:rsidR="007A38A3">
        <w:t xml:space="preserve"> Al </w:t>
      </w:r>
      <w:proofErr w:type="spellStart"/>
      <w:r w:rsidR="007A38A3">
        <w:t>Singace</w:t>
      </w:r>
      <w:proofErr w:type="spellEnd"/>
      <w:r w:rsidR="007A38A3">
        <w:t xml:space="preserve"> and </w:t>
      </w:r>
      <w:r w:rsidR="003539F7" w:rsidRPr="003539F7">
        <w:t xml:space="preserve">Mr. </w:t>
      </w:r>
      <w:proofErr w:type="spellStart"/>
      <w:r w:rsidR="003539F7" w:rsidRPr="003539F7">
        <w:t>Adbulhadi</w:t>
      </w:r>
      <w:proofErr w:type="spellEnd"/>
      <w:r w:rsidR="003539F7" w:rsidRPr="003539F7">
        <w:t xml:space="preserve"> Al-Khawaja, whose detention was declared arbitrary by the United Nations Working Gr</w:t>
      </w:r>
      <w:r w:rsidR="00465F4C">
        <w:t>oup on Arbitrary Detention</w:t>
      </w:r>
      <w:r w:rsidR="00D02867">
        <w:t xml:space="preserve">, and </w:t>
      </w:r>
      <w:r w:rsidR="003539F7">
        <w:t xml:space="preserve">Mr. </w:t>
      </w:r>
      <w:proofErr w:type="spellStart"/>
      <w:r w:rsidR="003539F7">
        <w:t>Naji</w:t>
      </w:r>
      <w:proofErr w:type="spellEnd"/>
      <w:r w:rsidR="003539F7">
        <w:t xml:space="preserve"> </w:t>
      </w:r>
      <w:proofErr w:type="spellStart"/>
      <w:r w:rsidR="003539F7">
        <w:t>Fateel</w:t>
      </w:r>
      <w:proofErr w:type="spellEnd"/>
      <w:r w:rsidR="003539F7">
        <w:t>, a</w:t>
      </w:r>
      <w:r w:rsidR="003539F7" w:rsidRPr="003539F7">
        <w:t>ll of whose immediate release was requested by the United Nations Special Rapporteur on human rights defenders</w:t>
      </w:r>
      <w:r w:rsidR="003539F7">
        <w:t>.</w:t>
      </w:r>
      <w:proofErr w:type="gramEnd"/>
      <w:r w:rsidRPr="00A20C1E">
        <w:rPr>
          <w:lang w:val="en-US"/>
        </w:rPr>
        <w:t xml:space="preserve"> </w:t>
      </w:r>
    </w:p>
    <w:p w14:paraId="00C88210" w14:textId="77422424" w:rsidR="005D686B" w:rsidRPr="00A20C1E" w:rsidRDefault="005D686B" w:rsidP="005D686B">
      <w:pPr>
        <w:pStyle w:val="SingleTxtG"/>
        <w:numPr>
          <w:ilvl w:val="0"/>
          <w:numId w:val="24"/>
        </w:numPr>
        <w:tabs>
          <w:tab w:val="clear" w:pos="1701"/>
          <w:tab w:val="clear" w:pos="2268"/>
          <w:tab w:val="clear" w:pos="2835"/>
        </w:tabs>
        <w:ind w:left="1134" w:firstLine="0"/>
        <w:rPr>
          <w:b/>
          <w:lang w:val="en-US"/>
        </w:rPr>
      </w:pPr>
      <w:r w:rsidRPr="00B878F3">
        <w:rPr>
          <w:b/>
        </w:rPr>
        <w:t xml:space="preserve">The Committee recommends that the State protect human rights defenders from harassment, intimidation and reprisals, and that it guarantee an enabling environment for civil society organizations engaged in the promotion and protection of human rights, including economic, social and cultural rights, including by carrying out information and awareness-raising campaigns focusing on the importance of their work. It refers the State party to its statement on human rights defenders and economic, social and </w:t>
      </w:r>
      <w:r>
        <w:rPr>
          <w:b/>
        </w:rPr>
        <w:t>cultural rights (E/C.12/2016/2)</w:t>
      </w:r>
      <w:r w:rsidRPr="00B878F3">
        <w:rPr>
          <w:b/>
        </w:rPr>
        <w:t>.</w:t>
      </w:r>
      <w:r>
        <w:rPr>
          <w:b/>
        </w:rPr>
        <w:t xml:space="preserve"> </w:t>
      </w:r>
      <w:r w:rsidRPr="00A20C1E">
        <w:rPr>
          <w:b/>
          <w:lang w:val="en-US"/>
        </w:rPr>
        <w:t xml:space="preserve">The Committee invites the State party to take measures as soon as possible to ensure the effective protection of the rights </w:t>
      </w:r>
      <w:r w:rsidR="00D02867">
        <w:rPr>
          <w:b/>
          <w:lang w:val="en-US"/>
        </w:rPr>
        <w:t xml:space="preserve">human </w:t>
      </w:r>
      <w:r w:rsidR="00B9385F">
        <w:rPr>
          <w:b/>
          <w:lang w:val="en-US"/>
        </w:rPr>
        <w:t>rights</w:t>
      </w:r>
      <w:r w:rsidR="00D02867">
        <w:rPr>
          <w:b/>
          <w:lang w:val="en-US"/>
        </w:rPr>
        <w:t xml:space="preserve"> defenders including </w:t>
      </w:r>
      <w:r w:rsidRPr="00A20C1E">
        <w:rPr>
          <w:b/>
          <w:lang w:val="en-US"/>
        </w:rPr>
        <w:t xml:space="preserve">of </w:t>
      </w:r>
      <w:r>
        <w:rPr>
          <w:b/>
          <w:lang w:val="en-US"/>
        </w:rPr>
        <w:t xml:space="preserve">Mr. </w:t>
      </w:r>
      <w:proofErr w:type="spellStart"/>
      <w:r>
        <w:rPr>
          <w:b/>
          <w:lang w:val="en-US"/>
        </w:rPr>
        <w:t>Abduljalil</w:t>
      </w:r>
      <w:proofErr w:type="spellEnd"/>
      <w:r>
        <w:rPr>
          <w:b/>
          <w:lang w:val="en-US"/>
        </w:rPr>
        <w:t xml:space="preserve"> Al </w:t>
      </w:r>
      <w:proofErr w:type="spellStart"/>
      <w:r>
        <w:rPr>
          <w:b/>
          <w:lang w:val="en-US"/>
        </w:rPr>
        <w:t>Singace</w:t>
      </w:r>
      <w:proofErr w:type="spellEnd"/>
      <w:r>
        <w:rPr>
          <w:b/>
          <w:lang w:val="en-US"/>
        </w:rPr>
        <w:t xml:space="preserve">, </w:t>
      </w:r>
      <w:r w:rsidRPr="00A20C1E">
        <w:rPr>
          <w:b/>
          <w:lang w:val="en-US"/>
        </w:rPr>
        <w:t xml:space="preserve">Mr. </w:t>
      </w:r>
      <w:proofErr w:type="spellStart"/>
      <w:r w:rsidRPr="00A20C1E">
        <w:rPr>
          <w:b/>
          <w:lang w:val="en-US"/>
        </w:rPr>
        <w:t>Adbulhadi</w:t>
      </w:r>
      <w:proofErr w:type="spellEnd"/>
      <w:r w:rsidRPr="00A20C1E">
        <w:rPr>
          <w:b/>
          <w:lang w:val="en-US"/>
        </w:rPr>
        <w:t xml:space="preserve"> Al-Khawaja and Mr. </w:t>
      </w:r>
      <w:proofErr w:type="spellStart"/>
      <w:r w:rsidRPr="00A20C1E">
        <w:rPr>
          <w:b/>
          <w:lang w:val="en-US"/>
        </w:rPr>
        <w:t>Naji</w:t>
      </w:r>
      <w:proofErr w:type="spellEnd"/>
      <w:r w:rsidRPr="00A20C1E">
        <w:rPr>
          <w:b/>
          <w:lang w:val="en-US"/>
        </w:rPr>
        <w:t xml:space="preserve"> </w:t>
      </w:r>
      <w:proofErr w:type="spellStart"/>
      <w:r w:rsidRPr="00A20C1E">
        <w:rPr>
          <w:b/>
          <w:lang w:val="en-US"/>
        </w:rPr>
        <w:t>Fateel</w:t>
      </w:r>
      <w:proofErr w:type="spellEnd"/>
      <w:r w:rsidRPr="00A20C1E">
        <w:rPr>
          <w:b/>
          <w:lang w:val="en-US"/>
        </w:rPr>
        <w:t>,</w:t>
      </w:r>
      <w:r>
        <w:rPr>
          <w:b/>
          <w:lang w:val="en-US"/>
        </w:rPr>
        <w:t xml:space="preserve"> and </w:t>
      </w:r>
      <w:proofErr w:type="gramStart"/>
      <w:r>
        <w:rPr>
          <w:b/>
          <w:lang w:val="en-US"/>
        </w:rPr>
        <w:t>to fully cooperate</w:t>
      </w:r>
      <w:proofErr w:type="gramEnd"/>
      <w:r>
        <w:rPr>
          <w:b/>
          <w:lang w:val="en-US"/>
        </w:rPr>
        <w:t xml:space="preserve"> with the United Nations’ Special Rapporteur on human rights defenders on the matter. </w:t>
      </w:r>
    </w:p>
    <w:p w14:paraId="27324953" w14:textId="77777777" w:rsidR="005D686B" w:rsidRPr="00FA2BBE" w:rsidRDefault="005D686B" w:rsidP="005D686B">
      <w:pPr>
        <w:pStyle w:val="H23G"/>
        <w:tabs>
          <w:tab w:val="clear" w:pos="851"/>
        </w:tabs>
        <w:ind w:firstLine="0"/>
      </w:pPr>
      <w:r w:rsidRPr="002C1D6D">
        <w:t>Climate change and environmental protection</w:t>
      </w:r>
    </w:p>
    <w:p w14:paraId="4F33C0C1" w14:textId="77777777" w:rsidR="005D686B" w:rsidRPr="00A463E0" w:rsidRDefault="005D686B" w:rsidP="005D686B">
      <w:pPr>
        <w:pStyle w:val="SingleTxtG"/>
        <w:numPr>
          <w:ilvl w:val="0"/>
          <w:numId w:val="24"/>
        </w:numPr>
        <w:tabs>
          <w:tab w:val="clear" w:pos="1701"/>
          <w:tab w:val="clear" w:pos="2268"/>
          <w:tab w:val="clear" w:pos="2835"/>
        </w:tabs>
        <w:ind w:left="1134" w:firstLine="0"/>
        <w:rPr>
          <w:sz w:val="22"/>
        </w:rPr>
      </w:pPr>
      <w:r w:rsidRPr="00204179">
        <w:t>The Comm</w:t>
      </w:r>
      <w:r>
        <w:t>ittee welcomes the measures taken to establish a framework to oversee climate change related issues in the State party, including the mandates of the Supreme Council for Environment and the Joint National Committee on Climate Change.</w:t>
      </w:r>
      <w:r w:rsidRPr="00204179">
        <w:t xml:space="preserve"> </w:t>
      </w:r>
      <w:r>
        <w:t>It is concerned, h</w:t>
      </w:r>
      <w:r w:rsidRPr="00204179">
        <w:t xml:space="preserve">owever, </w:t>
      </w:r>
      <w:r>
        <w:t>that d</w:t>
      </w:r>
      <w:r w:rsidRPr="00234406">
        <w:t>esertification</w:t>
      </w:r>
      <w:r>
        <w:t>,</w:t>
      </w:r>
      <w:r w:rsidRPr="00234406">
        <w:t xml:space="preserve"> degradation of arable land, droughts, dust storms</w:t>
      </w:r>
      <w:r>
        <w:t>,</w:t>
      </w:r>
      <w:r w:rsidRPr="00234406">
        <w:t xml:space="preserve"> coastal degradation </w:t>
      </w:r>
      <w:r>
        <w:t>owing to</w:t>
      </w:r>
      <w:r w:rsidRPr="00234406">
        <w:t xml:space="preserve"> oil spills</w:t>
      </w:r>
      <w:r>
        <w:t>,</w:t>
      </w:r>
      <w:r w:rsidRPr="00234406">
        <w:t xml:space="preserve"> and lack of freshwater resources</w:t>
      </w:r>
      <w:r>
        <w:t xml:space="preserve"> affect in a considerable manner the enjoyment of economic, social and cultural rights in the State party. The Committee also notes that, </w:t>
      </w:r>
      <w:r w:rsidRPr="00204179">
        <w:t xml:space="preserve">the State party is not on track to meet its </w:t>
      </w:r>
      <w:r>
        <w:t>nationally determined contribution under the Paris Agreement and its targets for</w:t>
      </w:r>
      <w:r w:rsidRPr="00204179">
        <w:t xml:space="preserve"> reduct</w:t>
      </w:r>
      <w:r>
        <w:t>ion in greenhouse gas emissions, including due to its oil and gas industry (art. 2(1)).</w:t>
      </w:r>
    </w:p>
    <w:p w14:paraId="0F769C06" w14:textId="77777777" w:rsidR="005D686B" w:rsidRPr="006C7102" w:rsidRDefault="005D686B" w:rsidP="005D686B">
      <w:pPr>
        <w:pStyle w:val="SingleTxtG"/>
        <w:numPr>
          <w:ilvl w:val="0"/>
          <w:numId w:val="24"/>
        </w:numPr>
        <w:tabs>
          <w:tab w:val="clear" w:pos="1701"/>
          <w:tab w:val="clear" w:pos="2268"/>
          <w:tab w:val="clear" w:pos="2835"/>
        </w:tabs>
        <w:ind w:left="1134" w:firstLine="0"/>
        <w:rPr>
          <w:b/>
        </w:rPr>
      </w:pPr>
      <w:r w:rsidRPr="006C7102">
        <w:rPr>
          <w:b/>
        </w:rPr>
        <w:t xml:space="preserve">The Committee recommends that the State party take all measures necessary to protect the environment and address environmental degradation, taking into account its effects on economic, social and cultural rights. It also recommends that the State party intensify its efforts to achieve its nationally determined contributions under the Paris Agreement and to reduce its greenhouse gas emissions, in particular by promoting </w:t>
      </w:r>
      <w:r w:rsidRPr="006C7102">
        <w:rPr>
          <w:b/>
        </w:rPr>
        <w:lastRenderedPageBreak/>
        <w:t>alternative and renewable energy sources and respecting its human rights obligations in its natural resource exploitation and export policies. The Committee refers the State party to the Committee’s statement on climate change and the Covenant, adopted on 8 October 2018.</w:t>
      </w:r>
    </w:p>
    <w:p w14:paraId="544C3D30" w14:textId="77777777" w:rsidR="005D686B" w:rsidRDefault="005D686B" w:rsidP="005D686B">
      <w:pPr>
        <w:pStyle w:val="H23G"/>
        <w:tabs>
          <w:tab w:val="clear" w:pos="851"/>
        </w:tabs>
        <w:ind w:firstLine="0"/>
      </w:pPr>
      <w:r>
        <w:t>Business and human rights</w:t>
      </w:r>
    </w:p>
    <w:p w14:paraId="0BD43E52" w14:textId="1769EC1C" w:rsidR="005D686B" w:rsidRDefault="005D686B" w:rsidP="005D686B">
      <w:pPr>
        <w:pStyle w:val="SingleTxtG"/>
        <w:numPr>
          <w:ilvl w:val="0"/>
          <w:numId w:val="24"/>
        </w:numPr>
        <w:tabs>
          <w:tab w:val="clear" w:pos="1701"/>
          <w:tab w:val="clear" w:pos="2268"/>
          <w:tab w:val="clear" w:pos="2835"/>
        </w:tabs>
        <w:ind w:left="1134" w:firstLine="0"/>
      </w:pPr>
      <w:r w:rsidRPr="0088045F">
        <w:t xml:space="preserve">The Committee is concerned about the absence of legal obligations for business entities under the State party’s jurisdiction to exercise human rights due diligence. </w:t>
      </w:r>
      <w:r>
        <w:t>It</w:t>
      </w:r>
      <w:r w:rsidRPr="0088045F">
        <w:t xml:space="preserve"> notes with </w:t>
      </w:r>
      <w:r>
        <w:t xml:space="preserve">particular </w:t>
      </w:r>
      <w:r w:rsidRPr="0088045F">
        <w:t xml:space="preserve">concern </w:t>
      </w:r>
      <w:r>
        <w:t>at reports on</w:t>
      </w:r>
      <w:r w:rsidR="00A3036E">
        <w:t xml:space="preserve"> </w:t>
      </w:r>
      <w:r w:rsidRPr="0088045F">
        <w:t xml:space="preserve">human rights impact assessment of business activities conducted </w:t>
      </w:r>
      <w:r>
        <w:t>in the oil and gas industry</w:t>
      </w:r>
      <w:r w:rsidRPr="0088045F">
        <w:t xml:space="preserve"> (art. 2 (1)).</w:t>
      </w:r>
    </w:p>
    <w:p w14:paraId="68678822" w14:textId="120CCCDC" w:rsidR="005D686B" w:rsidRPr="0088045F" w:rsidRDefault="005D686B" w:rsidP="005D686B">
      <w:pPr>
        <w:pStyle w:val="SingleTxtG"/>
        <w:numPr>
          <w:ilvl w:val="0"/>
          <w:numId w:val="24"/>
        </w:numPr>
        <w:tabs>
          <w:tab w:val="clear" w:pos="1701"/>
          <w:tab w:val="clear" w:pos="2268"/>
          <w:tab w:val="clear" w:pos="2835"/>
        </w:tabs>
        <w:ind w:left="1134" w:firstLine="0"/>
        <w:rPr>
          <w:b/>
        </w:rPr>
      </w:pPr>
      <w:proofErr w:type="gramStart"/>
      <w:r w:rsidRPr="0088045F">
        <w:rPr>
          <w:b/>
        </w:rPr>
        <w:t xml:space="preserve">The Committee recommends that the State party adopt </w:t>
      </w:r>
      <w:r w:rsidR="00504D73">
        <w:rPr>
          <w:b/>
        </w:rPr>
        <w:t xml:space="preserve">a national action plan and </w:t>
      </w:r>
      <w:r w:rsidRPr="0088045F">
        <w:rPr>
          <w:b/>
        </w:rPr>
        <w:t>a regulatory framework that requires business entities to exercise human rights due diligence in their business activities at home and abroad and ensure that businesses entities operating in the State party and those domiciled under its jurisdiction and acting abroad, irrespective of whether they are privately or State-owned, are held accountable for economic, social and cultural rights violations for which they are responsible, and that victims of such violations have access to effective remedies.</w:t>
      </w:r>
      <w:proofErr w:type="gramEnd"/>
      <w:r w:rsidRPr="0088045F">
        <w:rPr>
          <w:b/>
        </w:rPr>
        <w:t xml:space="preserve"> The Committee refers the State party to its general comment No. 24 (2017) on State obligations under the International Covenant on Economic, Social and Cultural Rights in the context of business activities.</w:t>
      </w:r>
    </w:p>
    <w:p w14:paraId="66DE70F7" w14:textId="77777777" w:rsidR="005D686B" w:rsidRPr="00692F6E" w:rsidRDefault="005D686B" w:rsidP="005D686B">
      <w:pPr>
        <w:pStyle w:val="H23G"/>
        <w:tabs>
          <w:tab w:val="clear" w:pos="851"/>
        </w:tabs>
        <w:ind w:firstLine="0"/>
      </w:pPr>
      <w:r w:rsidRPr="00692F6E">
        <w:t>Non-discrimination</w:t>
      </w:r>
    </w:p>
    <w:p w14:paraId="7EA0B427" w14:textId="77777777" w:rsidR="005D686B" w:rsidRDefault="005D686B" w:rsidP="005D686B">
      <w:pPr>
        <w:pStyle w:val="SingleTxtG"/>
        <w:numPr>
          <w:ilvl w:val="0"/>
          <w:numId w:val="24"/>
        </w:numPr>
        <w:tabs>
          <w:tab w:val="clear" w:pos="1701"/>
          <w:tab w:val="clear" w:pos="2268"/>
          <w:tab w:val="clear" w:pos="2835"/>
        </w:tabs>
        <w:ind w:left="1134" w:firstLine="0"/>
      </w:pPr>
      <w:r w:rsidRPr="00692F6E">
        <w:t>The Committee</w:t>
      </w:r>
      <w:r w:rsidRPr="00F86B24">
        <w:t xml:space="preserve"> </w:t>
      </w:r>
      <w:r>
        <w:t>is concerned that:</w:t>
      </w:r>
    </w:p>
    <w:p w14:paraId="762C491B" w14:textId="77777777" w:rsidR="005D686B" w:rsidRDefault="005D686B" w:rsidP="005D686B">
      <w:pPr>
        <w:pStyle w:val="SingleTxtG"/>
        <w:numPr>
          <w:ilvl w:val="0"/>
          <w:numId w:val="25"/>
        </w:numPr>
        <w:tabs>
          <w:tab w:val="clear" w:pos="1701"/>
          <w:tab w:val="left" w:pos="1134"/>
        </w:tabs>
        <w:ind w:left="1134" w:firstLine="567"/>
      </w:pPr>
      <w:proofErr w:type="gramStart"/>
      <w:r>
        <w:t xml:space="preserve">While the constitutional and legislative framework of the State party contains anti-discrimination provisions, there is no comprehensive anti-discrimination legislation and policy framework; certain individual and groups, such as </w:t>
      </w:r>
      <w:r>
        <w:rPr>
          <w:b/>
        </w:rPr>
        <w:t>persons with disabilities and</w:t>
      </w:r>
      <w:r>
        <w:t xml:space="preserve"> lesbian, gay, bisexual, transgender and intersex persons, the prevalence of widespread discrimination in practice, stigmatization and negative stereotypes hinder their access to economic, social and cultural rights</w:t>
      </w:r>
      <w:r w:rsidRPr="00692F6E">
        <w:t xml:space="preserve"> (art. 2(2)).</w:t>
      </w:r>
      <w:proofErr w:type="gramEnd"/>
    </w:p>
    <w:p w14:paraId="1BFD8447" w14:textId="77777777" w:rsidR="005D686B" w:rsidRDefault="005D686B" w:rsidP="005D686B">
      <w:pPr>
        <w:pStyle w:val="SingleTxtG"/>
        <w:numPr>
          <w:ilvl w:val="0"/>
          <w:numId w:val="25"/>
        </w:numPr>
        <w:tabs>
          <w:tab w:val="clear" w:pos="1701"/>
          <w:tab w:val="left" w:pos="1134"/>
        </w:tabs>
        <w:ind w:left="1134" w:firstLine="567"/>
      </w:pPr>
      <w:r>
        <w:t>Despite the State party’s efforts to improve their living conditions in last years, a large number of migrant workers face discrimination in employment and their access to adequate housing, education, and healthcare and services is limited;</w:t>
      </w:r>
    </w:p>
    <w:p w14:paraId="67C847D2" w14:textId="2D67B5C0" w:rsidR="005D686B" w:rsidRDefault="005D686B" w:rsidP="00D2709A">
      <w:pPr>
        <w:pStyle w:val="SingleTxtG"/>
        <w:numPr>
          <w:ilvl w:val="0"/>
          <w:numId w:val="25"/>
        </w:numPr>
        <w:tabs>
          <w:tab w:val="clear" w:pos="1701"/>
          <w:tab w:val="left" w:pos="1134"/>
        </w:tabs>
        <w:ind w:left="1134" w:firstLine="567"/>
      </w:pPr>
      <w:r>
        <w:t xml:space="preserve">Despite the constitutional prohibition of discrimination </w:t>
      </w:r>
      <w:proofErr w:type="gramStart"/>
      <w:r>
        <w:t>on the basis of</w:t>
      </w:r>
      <w:proofErr w:type="gramEnd"/>
      <w:r>
        <w:t xml:space="preserve"> religious </w:t>
      </w:r>
      <w:r w:rsidR="00D2709A">
        <w:t xml:space="preserve">affiliation, the Committee is concerned that </w:t>
      </w:r>
      <w:r>
        <w:t xml:space="preserve">members of the Shia community and stateless persons including stateless Bidoon as well as those who were deprived from their citizenship, reportedly face discrimination in education, employment </w:t>
      </w:r>
      <w:r w:rsidR="00D2709A">
        <w:t xml:space="preserve">as well </w:t>
      </w:r>
      <w:r w:rsidR="003539F7">
        <w:t>as the</w:t>
      </w:r>
      <w:r>
        <w:t xml:space="preserve"> exercise of their cultural rights.</w:t>
      </w:r>
    </w:p>
    <w:p w14:paraId="09782DB1" w14:textId="6BEE01A4" w:rsidR="005D686B" w:rsidRPr="00A20C1E" w:rsidRDefault="00EB7F71" w:rsidP="005D686B">
      <w:pPr>
        <w:pStyle w:val="SingleTxtG"/>
        <w:numPr>
          <w:ilvl w:val="0"/>
          <w:numId w:val="24"/>
        </w:numPr>
        <w:tabs>
          <w:tab w:val="clear" w:pos="1701"/>
          <w:tab w:val="clear" w:pos="2268"/>
          <w:tab w:val="clear" w:pos="2835"/>
        </w:tabs>
        <w:ind w:left="1134" w:firstLine="0"/>
        <w:rPr>
          <w:b/>
          <w:bCs/>
        </w:rPr>
      </w:pPr>
      <w:r w:rsidRPr="00A20C1E">
        <w:rPr>
          <w:b/>
          <w:bCs/>
        </w:rPr>
        <w:t xml:space="preserve">While noting that there is no provision in law that </w:t>
      </w:r>
      <w:r>
        <w:rPr>
          <w:b/>
          <w:bCs/>
        </w:rPr>
        <w:t xml:space="preserve">is </w:t>
      </w:r>
      <w:r w:rsidRPr="00A20C1E">
        <w:rPr>
          <w:b/>
          <w:bCs/>
        </w:rPr>
        <w:t xml:space="preserve">directly </w:t>
      </w:r>
      <w:r>
        <w:rPr>
          <w:b/>
          <w:bCs/>
        </w:rPr>
        <w:t xml:space="preserve">discriminatory, </w:t>
      </w:r>
      <w:r w:rsidRPr="00A20C1E">
        <w:rPr>
          <w:b/>
          <w:bCs/>
        </w:rPr>
        <w:t>the Committee recommends that the State party</w:t>
      </w:r>
      <w:r w:rsidR="005D686B" w:rsidRPr="00A20C1E">
        <w:rPr>
          <w:b/>
          <w:bCs/>
        </w:rPr>
        <w:t>:</w:t>
      </w:r>
    </w:p>
    <w:p w14:paraId="627D9014" w14:textId="77777777" w:rsidR="005D686B" w:rsidRDefault="005D686B" w:rsidP="005D686B">
      <w:pPr>
        <w:pStyle w:val="SingleTxtG"/>
        <w:numPr>
          <w:ilvl w:val="0"/>
          <w:numId w:val="26"/>
        </w:numPr>
        <w:tabs>
          <w:tab w:val="clear" w:pos="1701"/>
          <w:tab w:val="clear" w:pos="2268"/>
          <w:tab w:val="clear" w:pos="2835"/>
        </w:tabs>
        <w:ind w:left="1134" w:firstLine="567"/>
        <w:rPr>
          <w:b/>
        </w:rPr>
      </w:pPr>
      <w:r w:rsidRPr="00CD6566">
        <w:rPr>
          <w:b/>
        </w:rPr>
        <w:t>Adopt a comprehensive anti-discrimination legislation and policy framework aimed at ensuring equality and addressing direct, indirect, multiple and intersecting forms of discrimination on any ground;</w:t>
      </w:r>
    </w:p>
    <w:p w14:paraId="060D32A0" w14:textId="77777777" w:rsidR="005D686B" w:rsidRPr="00061748" w:rsidRDefault="005D686B" w:rsidP="005D686B">
      <w:pPr>
        <w:pStyle w:val="SingleTxtG"/>
        <w:numPr>
          <w:ilvl w:val="0"/>
          <w:numId w:val="26"/>
        </w:numPr>
        <w:tabs>
          <w:tab w:val="clear" w:pos="1701"/>
          <w:tab w:val="clear" w:pos="2268"/>
          <w:tab w:val="clear" w:pos="2835"/>
        </w:tabs>
        <w:ind w:left="1134" w:firstLine="567"/>
        <w:rPr>
          <w:b/>
        </w:rPr>
      </w:pPr>
      <w:r w:rsidRPr="00061748">
        <w:rPr>
          <w:b/>
        </w:rPr>
        <w:t>Strengthen its efforts to ensure non-discriminatory access to economic, social and cultural rights by migrant workers, including by protecting them from discrimination in employment and removing the barriers they face with regard to their access to adequate housing, education, and healthcare and services;</w:t>
      </w:r>
    </w:p>
    <w:p w14:paraId="435BD20E" w14:textId="77777777" w:rsidR="005D686B" w:rsidRDefault="005D686B" w:rsidP="005D686B">
      <w:pPr>
        <w:pStyle w:val="SingleTxtG"/>
        <w:numPr>
          <w:ilvl w:val="0"/>
          <w:numId w:val="26"/>
        </w:numPr>
        <w:tabs>
          <w:tab w:val="clear" w:pos="1701"/>
          <w:tab w:val="clear" w:pos="2268"/>
          <w:tab w:val="clear" w:pos="2835"/>
        </w:tabs>
        <w:ind w:left="1134" w:firstLine="567"/>
        <w:rPr>
          <w:b/>
        </w:rPr>
      </w:pPr>
      <w:r w:rsidRPr="00CD6566">
        <w:rPr>
          <w:b/>
        </w:rPr>
        <w:t>Take effective measures to eliminate discrim</w:t>
      </w:r>
      <w:r>
        <w:rPr>
          <w:b/>
        </w:rPr>
        <w:t>ination on the basis of religious</w:t>
      </w:r>
      <w:r w:rsidRPr="00CD6566">
        <w:rPr>
          <w:b/>
        </w:rPr>
        <w:t xml:space="preserve"> </w:t>
      </w:r>
      <w:r>
        <w:rPr>
          <w:b/>
        </w:rPr>
        <w:t>affiliation in</w:t>
      </w:r>
      <w:r w:rsidRPr="00CD6566">
        <w:rPr>
          <w:b/>
        </w:rPr>
        <w:t xml:space="preserve"> the enjoyment of economic, social and cultural rights, including by </w:t>
      </w:r>
      <w:r>
        <w:rPr>
          <w:b/>
        </w:rPr>
        <w:t>enhancing</w:t>
      </w:r>
      <w:r w:rsidRPr="00CD6566">
        <w:rPr>
          <w:b/>
        </w:rPr>
        <w:t xml:space="preserve"> its efforts to address the discrimination faced by members of the Shia community in education, employment and in the exercise of their cultural rights</w:t>
      </w:r>
      <w:r>
        <w:rPr>
          <w:b/>
        </w:rPr>
        <w:t>;</w:t>
      </w:r>
    </w:p>
    <w:p w14:paraId="34964A30" w14:textId="1B56F2DC" w:rsidR="005D686B" w:rsidRPr="00C13F22" w:rsidRDefault="005D686B" w:rsidP="005D686B">
      <w:pPr>
        <w:pStyle w:val="SingleTxtG"/>
        <w:numPr>
          <w:ilvl w:val="0"/>
          <w:numId w:val="26"/>
        </w:numPr>
        <w:tabs>
          <w:tab w:val="clear" w:pos="1701"/>
          <w:tab w:val="clear" w:pos="2268"/>
          <w:tab w:val="clear" w:pos="2835"/>
        </w:tabs>
        <w:ind w:left="1134" w:firstLine="567"/>
        <w:rPr>
          <w:b/>
        </w:rPr>
      </w:pPr>
      <w:r w:rsidRPr="00C13F22">
        <w:rPr>
          <w:b/>
        </w:rPr>
        <w:t xml:space="preserve">Adopt the measures necessary to prevent and reduce statelessness </w:t>
      </w:r>
      <w:r>
        <w:rPr>
          <w:b/>
        </w:rPr>
        <w:t>with a view to guaranteeing their non-discriminatory access to economic, social and cultural rights,</w:t>
      </w:r>
      <w:r w:rsidR="00A3036E">
        <w:rPr>
          <w:b/>
        </w:rPr>
        <w:t xml:space="preserve"> </w:t>
      </w:r>
      <w:r w:rsidRPr="00C13F22">
        <w:rPr>
          <w:b/>
        </w:rPr>
        <w:t>and consider ratifying the 1954 Convention relating to the Status of Stateless Persons and the 1961 Convention on the Reduction of Statelessness;</w:t>
      </w:r>
    </w:p>
    <w:p w14:paraId="04A8EAE2" w14:textId="2FA42E5F" w:rsidR="005D686B" w:rsidRPr="002B527A" w:rsidRDefault="005D686B" w:rsidP="005D686B">
      <w:pPr>
        <w:pStyle w:val="SingleTxtG"/>
        <w:numPr>
          <w:ilvl w:val="0"/>
          <w:numId w:val="26"/>
        </w:numPr>
        <w:tabs>
          <w:tab w:val="clear" w:pos="1701"/>
          <w:tab w:val="clear" w:pos="2268"/>
          <w:tab w:val="clear" w:pos="2835"/>
        </w:tabs>
        <w:ind w:left="1134" w:firstLine="567"/>
        <w:rPr>
          <w:b/>
        </w:rPr>
      </w:pPr>
      <w:r w:rsidRPr="00CD6566">
        <w:rPr>
          <w:b/>
        </w:rPr>
        <w:lastRenderedPageBreak/>
        <w:t xml:space="preserve">Take all necessary measures to eliminate negative stereotypes and stigmatization of </w:t>
      </w:r>
      <w:r w:rsidRPr="00682960">
        <w:rPr>
          <w:b/>
          <w:bCs/>
        </w:rPr>
        <w:t>members of marginalized groups, such as persons with disabilities, persons living with HIV, lesbian, gay, bisexual, transgender and intersex persons and refugees</w:t>
      </w:r>
      <w:r w:rsidRPr="002B527A">
        <w:rPr>
          <w:b/>
        </w:rPr>
        <w:t xml:space="preserve"> including through awareness-raising campaigns for the public, healthcare providers, teachers, social workers, and law enforcement and other public officials</w:t>
      </w:r>
      <w:r w:rsidR="00D2709A">
        <w:rPr>
          <w:b/>
        </w:rPr>
        <w:t>;</w:t>
      </w:r>
    </w:p>
    <w:p w14:paraId="5F47929A" w14:textId="4893B9B2" w:rsidR="005D686B" w:rsidRPr="00682960" w:rsidRDefault="005D686B" w:rsidP="005D686B">
      <w:pPr>
        <w:pStyle w:val="SingleTxtG"/>
        <w:numPr>
          <w:ilvl w:val="0"/>
          <w:numId w:val="26"/>
        </w:numPr>
        <w:ind w:left="1134" w:firstLine="567"/>
        <w:rPr>
          <w:b/>
          <w:bCs/>
        </w:rPr>
      </w:pPr>
      <w:r w:rsidRPr="00682960">
        <w:rPr>
          <w:b/>
          <w:bCs/>
        </w:rPr>
        <w:t>Establish mechanisms to ensure that victims of discrimination can seek effective remedies</w:t>
      </w:r>
      <w:r w:rsidR="00D2709A">
        <w:rPr>
          <w:b/>
          <w:bCs/>
        </w:rPr>
        <w:t>;</w:t>
      </w:r>
    </w:p>
    <w:p w14:paraId="57D0081E" w14:textId="6647B612" w:rsidR="005D686B" w:rsidRPr="009177D9" w:rsidRDefault="005D686B" w:rsidP="005D686B">
      <w:pPr>
        <w:pStyle w:val="SingleTxtG"/>
        <w:numPr>
          <w:ilvl w:val="0"/>
          <w:numId w:val="26"/>
        </w:numPr>
        <w:ind w:left="1134" w:firstLine="567"/>
        <w:rPr>
          <w:b/>
          <w:bCs/>
        </w:rPr>
      </w:pPr>
      <w:r>
        <w:rPr>
          <w:b/>
          <w:bCs/>
        </w:rPr>
        <w:t xml:space="preserve">Take into account the Committee </w:t>
      </w:r>
      <w:r w:rsidRPr="007E3B53">
        <w:rPr>
          <w:b/>
          <w:bCs/>
        </w:rPr>
        <w:t>general comment No. 20 (2009) on non-discrimination in economic, social and cultural rights.</w:t>
      </w:r>
    </w:p>
    <w:p w14:paraId="62D44F7F" w14:textId="77777777" w:rsidR="005D686B" w:rsidRPr="00FA2BBE" w:rsidRDefault="005D686B" w:rsidP="005D686B">
      <w:pPr>
        <w:pStyle w:val="H23G"/>
        <w:tabs>
          <w:tab w:val="clear" w:pos="851"/>
        </w:tabs>
        <w:ind w:firstLine="0"/>
      </w:pPr>
      <w:r w:rsidRPr="00285C0F">
        <w:t>Equality between men and women</w:t>
      </w:r>
    </w:p>
    <w:p w14:paraId="05FAAADC" w14:textId="77777777" w:rsidR="005D686B" w:rsidRDefault="005D686B" w:rsidP="005D686B">
      <w:pPr>
        <w:pStyle w:val="SingleTxtG"/>
        <w:numPr>
          <w:ilvl w:val="0"/>
          <w:numId w:val="24"/>
        </w:numPr>
        <w:tabs>
          <w:tab w:val="clear" w:pos="1701"/>
          <w:tab w:val="clear" w:pos="2268"/>
          <w:tab w:val="clear" w:pos="2835"/>
        </w:tabs>
        <w:ind w:left="1134" w:firstLine="0"/>
      </w:pPr>
      <w:r w:rsidRPr="00655B8D">
        <w:t>The Committee</w:t>
      </w:r>
      <w:r>
        <w:t xml:space="preserve"> notes with concern that:</w:t>
      </w:r>
    </w:p>
    <w:p w14:paraId="24787DA2" w14:textId="6820AEF2" w:rsidR="00D2709A" w:rsidRDefault="005D686B" w:rsidP="00A3036E">
      <w:pPr>
        <w:pStyle w:val="SingleTxtG"/>
        <w:numPr>
          <w:ilvl w:val="0"/>
          <w:numId w:val="27"/>
        </w:numPr>
        <w:ind w:left="1134" w:firstLine="567"/>
      </w:pPr>
      <w:r>
        <w:t>T</w:t>
      </w:r>
      <w:r w:rsidRPr="00774544">
        <w:t>he existence of discriminatory legal provisions such as those on nationality and inheritance</w:t>
      </w:r>
      <w:r w:rsidR="00D2709A">
        <w:t>;</w:t>
      </w:r>
      <w:r w:rsidRPr="00774544">
        <w:t xml:space="preserve"> </w:t>
      </w:r>
    </w:p>
    <w:p w14:paraId="7C7966BA" w14:textId="7939ADC2" w:rsidR="005D686B" w:rsidRDefault="00D2709A" w:rsidP="00A3036E">
      <w:pPr>
        <w:pStyle w:val="SingleTxtG"/>
        <w:numPr>
          <w:ilvl w:val="0"/>
          <w:numId w:val="27"/>
        </w:numPr>
        <w:ind w:left="1134" w:firstLine="567"/>
      </w:pPr>
      <w:r>
        <w:t>T</w:t>
      </w:r>
      <w:r w:rsidR="005D686B" w:rsidRPr="00774544">
        <w:t xml:space="preserve">he entrenched patriarchal attitudes and the stereotyped image of women as only mothers and wives, </w:t>
      </w:r>
      <w:r>
        <w:t xml:space="preserve">which </w:t>
      </w:r>
      <w:r w:rsidR="005D686B">
        <w:t>may</w:t>
      </w:r>
      <w:r w:rsidR="00A3036E">
        <w:t xml:space="preserve"> </w:t>
      </w:r>
      <w:r w:rsidR="005D686B" w:rsidRPr="00774544">
        <w:t>prevent women from enjoying Covenant rights on an equal basis with men</w:t>
      </w:r>
      <w:r>
        <w:t>;</w:t>
      </w:r>
    </w:p>
    <w:p w14:paraId="5866DF3C" w14:textId="0A9C6C50" w:rsidR="005D686B" w:rsidRDefault="005D686B" w:rsidP="00A3036E">
      <w:pPr>
        <w:pStyle w:val="SingleTxtG"/>
        <w:numPr>
          <w:ilvl w:val="0"/>
          <w:numId w:val="27"/>
        </w:numPr>
        <w:ind w:left="1134" w:firstLine="567"/>
      </w:pPr>
      <w:r>
        <w:t xml:space="preserve">Despite </w:t>
      </w:r>
      <w:r w:rsidRPr="00E37566">
        <w:t xml:space="preserve">the </w:t>
      </w:r>
      <w:r>
        <w:t xml:space="preserve">efforts of the State party to increase the </w:t>
      </w:r>
      <w:r w:rsidRPr="00E37566">
        <w:t>particip</w:t>
      </w:r>
      <w:r>
        <w:t>ation of women in the workforce, women’s employment rate is reportedly low;</w:t>
      </w:r>
      <w:r w:rsidR="00A3036E">
        <w:t xml:space="preserve"> </w:t>
      </w:r>
    </w:p>
    <w:p w14:paraId="7D8EEFC3" w14:textId="77777777" w:rsidR="005D686B" w:rsidRDefault="005D686B" w:rsidP="00A3036E">
      <w:pPr>
        <w:pStyle w:val="SingleTxtG"/>
        <w:numPr>
          <w:ilvl w:val="0"/>
          <w:numId w:val="27"/>
        </w:numPr>
        <w:ind w:left="1134" w:firstLine="567"/>
      </w:pPr>
      <w:r>
        <w:t>Women continue to be underrepresented in senior and decision-making positions in both the private and public sectors;</w:t>
      </w:r>
    </w:p>
    <w:p w14:paraId="6F910C6A" w14:textId="77777777" w:rsidR="005D686B" w:rsidRDefault="005D686B" w:rsidP="00A3036E">
      <w:pPr>
        <w:pStyle w:val="SingleTxtG"/>
        <w:numPr>
          <w:ilvl w:val="0"/>
          <w:numId w:val="27"/>
        </w:numPr>
        <w:tabs>
          <w:tab w:val="clear" w:pos="1701"/>
          <w:tab w:val="clear" w:pos="2268"/>
          <w:tab w:val="clear" w:pos="2835"/>
        </w:tabs>
        <w:ind w:left="1134" w:firstLine="567"/>
      </w:pPr>
      <w:r>
        <w:t xml:space="preserve">Despite the efforts of the State party, the gender pay </w:t>
      </w:r>
      <w:proofErr w:type="gramStart"/>
      <w:r>
        <w:t>gap still</w:t>
      </w:r>
      <w:proofErr w:type="gramEnd"/>
      <w:r>
        <w:t xml:space="preserve"> persists (art. 3).</w:t>
      </w:r>
    </w:p>
    <w:p w14:paraId="2A963306"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815CCB">
        <w:rPr>
          <w:b/>
        </w:rPr>
        <w:t xml:space="preserve">The Committee </w:t>
      </w:r>
      <w:r>
        <w:rPr>
          <w:b/>
        </w:rPr>
        <w:t xml:space="preserve">recommends that the State party: </w:t>
      </w:r>
    </w:p>
    <w:p w14:paraId="5F30320A" w14:textId="77777777" w:rsidR="005D686B" w:rsidRPr="00EE158D" w:rsidRDefault="005D686B" w:rsidP="005D686B">
      <w:pPr>
        <w:pStyle w:val="SingleTxtG"/>
        <w:numPr>
          <w:ilvl w:val="0"/>
          <w:numId w:val="36"/>
        </w:numPr>
        <w:ind w:left="1134" w:firstLine="567"/>
        <w:rPr>
          <w:b/>
        </w:rPr>
      </w:pPr>
      <w:r w:rsidRPr="00EE158D">
        <w:rPr>
          <w:b/>
        </w:rPr>
        <w:t>Review all laws and regulations with a view to repealing or amending those that are discriminatory or have a discriminatory effect on women, including laws on nationality and inheritance;</w:t>
      </w:r>
    </w:p>
    <w:p w14:paraId="56FC80B3" w14:textId="77777777" w:rsidR="005D686B" w:rsidRPr="00EE158D" w:rsidRDefault="005D686B" w:rsidP="005D686B">
      <w:pPr>
        <w:pStyle w:val="SingleTxtG"/>
        <w:numPr>
          <w:ilvl w:val="0"/>
          <w:numId w:val="36"/>
        </w:numPr>
        <w:ind w:left="1134" w:firstLine="567"/>
        <w:rPr>
          <w:b/>
        </w:rPr>
      </w:pPr>
      <w:r w:rsidRPr="00EE158D">
        <w:rPr>
          <w:b/>
        </w:rPr>
        <w:t>Intensify efforts, through awareness-raising campaigns, to counter society’s patriarchal attitudes and stereotyped image of women in family and society, and recognize women as individuals who have equal rights;</w:t>
      </w:r>
    </w:p>
    <w:p w14:paraId="2FE22F6A" w14:textId="77777777" w:rsidR="005D686B" w:rsidRPr="00EE158D" w:rsidRDefault="005D686B" w:rsidP="005D686B">
      <w:pPr>
        <w:pStyle w:val="SingleTxtG"/>
        <w:numPr>
          <w:ilvl w:val="0"/>
          <w:numId w:val="36"/>
        </w:numPr>
        <w:ind w:left="1134" w:firstLine="567"/>
        <w:rPr>
          <w:b/>
        </w:rPr>
      </w:pPr>
      <w:r w:rsidRPr="00EE158D">
        <w:rPr>
          <w:b/>
        </w:rPr>
        <w:t>Identify and address the obstacles that hinder women’s equal participation in the workforce, including by combating perceived traditional gender roles in the family and in society, and promote their participation in decision-making positions and management roles in the private sector;</w:t>
      </w:r>
    </w:p>
    <w:p w14:paraId="1341CDED" w14:textId="77777777" w:rsidR="005D686B" w:rsidRPr="00EE158D" w:rsidRDefault="005D686B" w:rsidP="005D686B">
      <w:pPr>
        <w:pStyle w:val="SingleTxtG"/>
        <w:numPr>
          <w:ilvl w:val="0"/>
          <w:numId w:val="36"/>
        </w:numPr>
        <w:ind w:left="1134" w:firstLine="567"/>
        <w:rPr>
          <w:b/>
        </w:rPr>
      </w:pPr>
      <w:r w:rsidRPr="00EE158D">
        <w:rPr>
          <w:b/>
        </w:rPr>
        <w:t>Take effective measures to close the gender pay gap, including by addressing the structural causes that result in women occupying lower paid jobs and facing obstacles to their enjoyment of career opportunities on an equal footing with men;</w:t>
      </w:r>
    </w:p>
    <w:p w14:paraId="5E85BD76" w14:textId="464681AD" w:rsidR="005D686B" w:rsidRPr="00EE158D" w:rsidRDefault="00011815" w:rsidP="00011815">
      <w:pPr>
        <w:pStyle w:val="SingleTxtG"/>
        <w:numPr>
          <w:ilvl w:val="0"/>
          <w:numId w:val="36"/>
        </w:numPr>
        <w:ind w:left="1134" w:firstLine="567"/>
        <w:rPr>
          <w:b/>
        </w:rPr>
      </w:pPr>
      <w:r>
        <w:rPr>
          <w:b/>
        </w:rPr>
        <w:t xml:space="preserve">Take into consideration and apply the provisions of </w:t>
      </w:r>
      <w:r w:rsidR="003539F7" w:rsidRPr="00EE158D">
        <w:rPr>
          <w:b/>
        </w:rPr>
        <w:t>its general</w:t>
      </w:r>
      <w:r w:rsidR="005D686B" w:rsidRPr="00EE158D">
        <w:rPr>
          <w:b/>
        </w:rPr>
        <w:t xml:space="preserve"> comment No. 16 (2005) on the equal right of men and women to the enjoyment of all economic, social and cultural rights.</w:t>
      </w:r>
    </w:p>
    <w:p w14:paraId="4BC232D4" w14:textId="77777777" w:rsidR="005D686B" w:rsidRPr="00774544" w:rsidRDefault="005D686B" w:rsidP="005D686B">
      <w:pPr>
        <w:pStyle w:val="H23G"/>
        <w:rPr>
          <w:rFonts w:eastAsia="Malgun Gothic"/>
        </w:rPr>
      </w:pPr>
      <w:r>
        <w:rPr>
          <w:rFonts w:eastAsia="Malgun Gothic"/>
        </w:rPr>
        <w:tab/>
      </w:r>
      <w:r>
        <w:rPr>
          <w:rFonts w:eastAsia="Malgun Gothic"/>
        </w:rPr>
        <w:tab/>
      </w:r>
      <w:r w:rsidRPr="00774544">
        <w:rPr>
          <w:rFonts w:eastAsia="Malgun Gothic"/>
        </w:rPr>
        <w:t>Unemployment</w:t>
      </w:r>
    </w:p>
    <w:p w14:paraId="7424DC7C" w14:textId="77777777" w:rsidR="005D686B" w:rsidRPr="00774544" w:rsidRDefault="005D686B" w:rsidP="005D686B">
      <w:pPr>
        <w:pStyle w:val="SingleTxtG"/>
        <w:numPr>
          <w:ilvl w:val="0"/>
          <w:numId w:val="24"/>
        </w:numPr>
        <w:tabs>
          <w:tab w:val="clear" w:pos="1701"/>
          <w:tab w:val="clear" w:pos="2268"/>
          <w:tab w:val="clear" w:pos="2835"/>
        </w:tabs>
        <w:ind w:left="1134" w:firstLine="0"/>
      </w:pPr>
      <w:r w:rsidRPr="00774544">
        <w:t>The Committee notes the various measures taken by the State party to counter unemployment, including those aimed at supporting small and medium-sized enterprises. The Committee remains concerned,</w:t>
      </w:r>
      <w:r>
        <w:t xml:space="preserve"> however, at the rates</w:t>
      </w:r>
      <w:r w:rsidRPr="00774544">
        <w:t xml:space="preserve"> of unemployment in the State party, especially among</w:t>
      </w:r>
      <w:r>
        <w:t xml:space="preserve"> persons with disabilities,</w:t>
      </w:r>
      <w:r w:rsidRPr="00774544">
        <w:t xml:space="preserve"> youth and women, including university graduates</w:t>
      </w:r>
      <w:r>
        <w:t>. T</w:t>
      </w:r>
      <w:r w:rsidRPr="00774544">
        <w:t xml:space="preserve">he Committee is further concerned that the State </w:t>
      </w:r>
      <w:proofErr w:type="gramStart"/>
      <w:r w:rsidRPr="00774544">
        <w:t>party</w:t>
      </w:r>
      <w:r>
        <w:t>’</w:t>
      </w:r>
      <w:r w:rsidRPr="00774544">
        <w:t>s</w:t>
      </w:r>
      <w:proofErr w:type="gramEnd"/>
      <w:r w:rsidRPr="00774544">
        <w:t xml:space="preserve"> </w:t>
      </w:r>
      <w:r>
        <w:t xml:space="preserve">targeted </w:t>
      </w:r>
      <w:r w:rsidRPr="00774544">
        <w:t>policies and programmes</w:t>
      </w:r>
      <w:r>
        <w:t xml:space="preserve"> have not effectively reduced unemployment</w:t>
      </w:r>
      <w:r w:rsidRPr="00774544">
        <w:t xml:space="preserve"> (art. 6). </w:t>
      </w:r>
    </w:p>
    <w:p w14:paraId="452B6959" w14:textId="77777777" w:rsidR="005D686B" w:rsidRPr="00CB3320" w:rsidRDefault="005D686B" w:rsidP="005D686B">
      <w:pPr>
        <w:pStyle w:val="SingleTxtG"/>
        <w:numPr>
          <w:ilvl w:val="0"/>
          <w:numId w:val="24"/>
        </w:numPr>
        <w:tabs>
          <w:tab w:val="clear" w:pos="1701"/>
          <w:tab w:val="clear" w:pos="2268"/>
          <w:tab w:val="clear" w:pos="2835"/>
        </w:tabs>
        <w:ind w:left="1134" w:firstLine="0"/>
        <w:rPr>
          <w:b/>
          <w:bCs/>
        </w:rPr>
      </w:pPr>
      <w:r w:rsidRPr="00CB3320">
        <w:rPr>
          <w:b/>
          <w:bCs/>
        </w:rPr>
        <w:t>The Committee recommends that, the State party:</w:t>
      </w:r>
    </w:p>
    <w:p w14:paraId="2D754F2E" w14:textId="77777777" w:rsidR="005D686B" w:rsidRPr="00EE158D" w:rsidRDefault="005D686B" w:rsidP="005D686B">
      <w:pPr>
        <w:pStyle w:val="SingleTxtG"/>
        <w:rPr>
          <w:b/>
          <w:bCs/>
        </w:rPr>
      </w:pPr>
      <w:r w:rsidRPr="00EE158D">
        <w:rPr>
          <w:b/>
        </w:rPr>
        <w:tab/>
        <w:t>(a)</w:t>
      </w:r>
      <w:r w:rsidRPr="00EE158D">
        <w:rPr>
          <w:b/>
        </w:rPr>
        <w:tab/>
      </w:r>
      <w:r w:rsidRPr="00EE158D">
        <w:rPr>
          <w:b/>
          <w:bCs/>
        </w:rPr>
        <w:t>Address the structural causes of unemployment in the State party, including the jobless economic growth</w:t>
      </w:r>
      <w:proofErr w:type="gramStart"/>
      <w:r w:rsidRPr="00EE158D">
        <w:rPr>
          <w:b/>
          <w:bCs/>
        </w:rPr>
        <w:t>;</w:t>
      </w:r>
      <w:proofErr w:type="gramEnd"/>
      <w:r w:rsidRPr="00EE158D">
        <w:rPr>
          <w:b/>
          <w:bCs/>
        </w:rPr>
        <w:t xml:space="preserve"> </w:t>
      </w:r>
    </w:p>
    <w:p w14:paraId="086B5502" w14:textId="77777777" w:rsidR="005D686B" w:rsidRPr="00EE158D" w:rsidRDefault="005D686B" w:rsidP="005D686B">
      <w:pPr>
        <w:pStyle w:val="SingleTxtG"/>
        <w:rPr>
          <w:b/>
          <w:bCs/>
        </w:rPr>
      </w:pPr>
      <w:r w:rsidRPr="00EE158D">
        <w:rPr>
          <w:b/>
        </w:rPr>
        <w:lastRenderedPageBreak/>
        <w:tab/>
        <w:t>(b)</w:t>
      </w:r>
      <w:r w:rsidRPr="00EE158D">
        <w:rPr>
          <w:b/>
        </w:rPr>
        <w:tab/>
      </w:r>
      <w:r w:rsidRPr="00EE158D">
        <w:rPr>
          <w:b/>
          <w:bCs/>
        </w:rPr>
        <w:t>Review vocational and university programmes so that they meet current labour market demands and capitalize on the high level of education to ensure that it translates into job opportunities</w:t>
      </w:r>
      <w:proofErr w:type="gramStart"/>
      <w:r w:rsidRPr="00EE158D">
        <w:rPr>
          <w:b/>
          <w:bCs/>
        </w:rPr>
        <w:t>;</w:t>
      </w:r>
      <w:proofErr w:type="gramEnd"/>
    </w:p>
    <w:p w14:paraId="18A8D12C" w14:textId="77777777" w:rsidR="005D686B" w:rsidRPr="00EE158D" w:rsidRDefault="005D686B" w:rsidP="005D686B">
      <w:pPr>
        <w:pStyle w:val="SingleTxtG"/>
        <w:rPr>
          <w:b/>
          <w:bCs/>
        </w:rPr>
      </w:pPr>
      <w:r w:rsidRPr="00EE158D">
        <w:rPr>
          <w:b/>
        </w:rPr>
        <w:tab/>
        <w:t>(c)</w:t>
      </w:r>
      <w:r w:rsidRPr="00EE158D">
        <w:rPr>
          <w:b/>
        </w:rPr>
        <w:tab/>
      </w:r>
      <w:r w:rsidRPr="00EE158D">
        <w:rPr>
          <w:b/>
          <w:bCs/>
        </w:rPr>
        <w:t>Monitor the impact of the “first job programme for youth” and adopt labour measures targeted specifically at women and persons with disabilities</w:t>
      </w:r>
      <w:proofErr w:type="gramStart"/>
      <w:r w:rsidRPr="00EE158D">
        <w:rPr>
          <w:b/>
          <w:bCs/>
        </w:rPr>
        <w:t>;</w:t>
      </w:r>
      <w:proofErr w:type="gramEnd"/>
    </w:p>
    <w:p w14:paraId="1F6D353E" w14:textId="77777777" w:rsidR="005D686B" w:rsidRPr="00EE158D" w:rsidRDefault="005D686B" w:rsidP="005D686B">
      <w:pPr>
        <w:pStyle w:val="SingleTxtG"/>
        <w:rPr>
          <w:b/>
          <w:bCs/>
        </w:rPr>
      </w:pPr>
      <w:r w:rsidRPr="00EE158D">
        <w:rPr>
          <w:b/>
        </w:rPr>
        <w:tab/>
        <w:t>(d)</w:t>
      </w:r>
      <w:r w:rsidRPr="00EE158D">
        <w:rPr>
          <w:b/>
        </w:rPr>
        <w:tab/>
      </w:r>
      <w:r w:rsidRPr="00EE158D">
        <w:rPr>
          <w:b/>
          <w:bCs/>
        </w:rPr>
        <w:t>Put into place services providing assistance to the unemployed, especially the persons with disabilities and women</w:t>
      </w:r>
      <w:proofErr w:type="gramStart"/>
      <w:r w:rsidRPr="00EE158D">
        <w:rPr>
          <w:b/>
          <w:bCs/>
        </w:rPr>
        <w:t>;</w:t>
      </w:r>
      <w:proofErr w:type="gramEnd"/>
      <w:r w:rsidRPr="00EE158D">
        <w:rPr>
          <w:b/>
          <w:bCs/>
        </w:rPr>
        <w:t xml:space="preserve"> </w:t>
      </w:r>
    </w:p>
    <w:p w14:paraId="3BA03E1A" w14:textId="18BA9AF4" w:rsidR="005D686B" w:rsidRPr="00EE158D" w:rsidRDefault="005D686B" w:rsidP="005D686B">
      <w:pPr>
        <w:pStyle w:val="SingleTxtG"/>
        <w:rPr>
          <w:b/>
          <w:bCs/>
        </w:rPr>
      </w:pPr>
      <w:r w:rsidRPr="00EE158D">
        <w:rPr>
          <w:b/>
          <w:bCs/>
        </w:rPr>
        <w:tab/>
        <w:t xml:space="preserve">(e) </w:t>
      </w:r>
      <w:r w:rsidRPr="00EE158D">
        <w:rPr>
          <w:b/>
          <w:bCs/>
        </w:rPr>
        <w:tab/>
      </w:r>
      <w:r w:rsidR="00EF3DE3">
        <w:rPr>
          <w:b/>
          <w:bCs/>
        </w:rPr>
        <w:t>T</w:t>
      </w:r>
      <w:r w:rsidRPr="00EE158D">
        <w:rPr>
          <w:b/>
          <w:bCs/>
        </w:rPr>
        <w:t xml:space="preserve">ake into account the </w:t>
      </w:r>
      <w:r w:rsidR="00EF3DE3" w:rsidRPr="00EE158D">
        <w:rPr>
          <w:b/>
          <w:bCs/>
        </w:rPr>
        <w:t>Committee general</w:t>
      </w:r>
      <w:r w:rsidRPr="00EE158D">
        <w:rPr>
          <w:b/>
          <w:bCs/>
        </w:rPr>
        <w:t xml:space="preserve"> comment No. 18 (2005) on the right to work in the implementation of labour plans and policies.</w:t>
      </w:r>
    </w:p>
    <w:p w14:paraId="0D7B363A" w14:textId="77777777" w:rsidR="005D686B" w:rsidRPr="009460A2" w:rsidRDefault="005D686B" w:rsidP="005D686B">
      <w:pPr>
        <w:pStyle w:val="SingleTxtG"/>
        <w:rPr>
          <w:b/>
          <w:sz w:val="22"/>
        </w:rPr>
      </w:pPr>
      <w:r w:rsidRPr="009460A2">
        <w:rPr>
          <w:b/>
        </w:rPr>
        <w:t>Minimum wage</w:t>
      </w:r>
    </w:p>
    <w:p w14:paraId="4ADC0D2F" w14:textId="77777777" w:rsidR="005D686B" w:rsidRPr="009460A2" w:rsidRDefault="005D686B" w:rsidP="005D686B">
      <w:pPr>
        <w:pStyle w:val="SingleTxtG"/>
        <w:numPr>
          <w:ilvl w:val="0"/>
          <w:numId w:val="24"/>
        </w:numPr>
        <w:tabs>
          <w:tab w:val="clear" w:pos="1701"/>
          <w:tab w:val="clear" w:pos="2268"/>
          <w:tab w:val="clear" w:pos="2835"/>
        </w:tabs>
        <w:ind w:left="1134" w:firstLine="0"/>
      </w:pPr>
      <w:r>
        <w:t>While noting the provision of a minimum wage for civil servants in public sector under</w:t>
      </w:r>
      <w:r w:rsidRPr="001D66EB">
        <w:t xml:space="preserve"> article 15 of the Civil Servic</w:t>
      </w:r>
      <w:r>
        <w:t>e Act No. 48 of 2010, t</w:t>
      </w:r>
      <w:r w:rsidRPr="002379AD">
        <w:t xml:space="preserve">he Committee </w:t>
      </w:r>
      <w:r>
        <w:t>regrets</w:t>
      </w:r>
      <w:r w:rsidRPr="002379AD">
        <w:t xml:space="preserve"> that the State party does not have a statutory minimum</w:t>
      </w:r>
      <w:r>
        <w:t xml:space="preserve"> wage applicable in the private sector</w:t>
      </w:r>
      <w:r w:rsidRPr="002B1A43">
        <w:t xml:space="preserve"> </w:t>
      </w:r>
      <w:r w:rsidRPr="009460A2">
        <w:t>(art. 7).</w:t>
      </w:r>
    </w:p>
    <w:p w14:paraId="76F2B42A" w14:textId="77777777" w:rsidR="005D686B" w:rsidRPr="001D66EB" w:rsidRDefault="005D686B" w:rsidP="005D686B">
      <w:pPr>
        <w:pStyle w:val="SingleTxtG"/>
        <w:numPr>
          <w:ilvl w:val="0"/>
          <w:numId w:val="24"/>
        </w:numPr>
        <w:tabs>
          <w:tab w:val="clear" w:pos="1701"/>
          <w:tab w:val="clear" w:pos="2268"/>
          <w:tab w:val="clear" w:pos="2835"/>
        </w:tabs>
        <w:ind w:left="1134" w:firstLine="0"/>
        <w:rPr>
          <w:b/>
        </w:rPr>
      </w:pPr>
      <w:r w:rsidRPr="001D66EB">
        <w:rPr>
          <w:b/>
        </w:rPr>
        <w:t>The Committee recommends that the State party establish, in collaboration with the social partners, an appropriate and regularly indexed national minimum wage</w:t>
      </w:r>
      <w:r>
        <w:rPr>
          <w:b/>
        </w:rPr>
        <w:t xml:space="preserve">, </w:t>
      </w:r>
      <w:r w:rsidRPr="001D66EB">
        <w:rPr>
          <w:b/>
        </w:rPr>
        <w:t>regardless of the type of contracts, worki</w:t>
      </w:r>
      <w:r>
        <w:rPr>
          <w:b/>
        </w:rPr>
        <w:t>ng hour arrangements and sectors,</w:t>
      </w:r>
      <w:r w:rsidRPr="001D66EB">
        <w:rPr>
          <w:b/>
        </w:rPr>
        <w:t xml:space="preserve"> in order to guarantee decent living conditions for all workers and their families</w:t>
      </w:r>
      <w:r>
        <w:rPr>
          <w:b/>
        </w:rPr>
        <w:t xml:space="preserve">. </w:t>
      </w:r>
      <w:r w:rsidRPr="001D66EB">
        <w:rPr>
          <w:b/>
        </w:rPr>
        <w:t>The Committee draws the attention of the State party to its general comment No. 23 (2016) on the right to just and favourable conditions of work.</w:t>
      </w:r>
    </w:p>
    <w:p w14:paraId="57F6A545" w14:textId="77777777" w:rsidR="005D686B" w:rsidRDefault="005D686B" w:rsidP="005D686B">
      <w:pPr>
        <w:pStyle w:val="SingleTxtG"/>
        <w:tabs>
          <w:tab w:val="clear" w:pos="1701"/>
          <w:tab w:val="clear" w:pos="2268"/>
          <w:tab w:val="clear" w:pos="2835"/>
        </w:tabs>
        <w:rPr>
          <w:b/>
        </w:rPr>
      </w:pPr>
      <w:r>
        <w:rPr>
          <w:b/>
        </w:rPr>
        <w:t>Right to just and favourable conditions of work</w:t>
      </w:r>
    </w:p>
    <w:p w14:paraId="2C2F2534" w14:textId="758C560B" w:rsidR="005D686B" w:rsidRDefault="005D686B" w:rsidP="005D686B">
      <w:pPr>
        <w:pStyle w:val="SingleTxtG"/>
        <w:numPr>
          <w:ilvl w:val="0"/>
          <w:numId w:val="24"/>
        </w:numPr>
        <w:tabs>
          <w:tab w:val="clear" w:pos="1701"/>
          <w:tab w:val="clear" w:pos="2268"/>
          <w:tab w:val="clear" w:pos="2835"/>
        </w:tabs>
        <w:ind w:left="1134" w:firstLine="0"/>
      </w:pPr>
      <w:proofErr w:type="gramStart"/>
      <w:r>
        <w:t>The Committee</w:t>
      </w:r>
      <w:r w:rsidRPr="00A16DBE">
        <w:t xml:space="preserve"> </w:t>
      </w:r>
      <w:r>
        <w:t xml:space="preserve">welcomes the inclusion of migrant workers employed in some sectors of the economy under the protection of Labour Law No. 36 </w:t>
      </w:r>
      <w:r w:rsidR="003539F7">
        <w:t xml:space="preserve">of 2012, </w:t>
      </w:r>
      <w:r>
        <w:t xml:space="preserve">establishment of the Individual Labour Disputes Settlement Authority, exemption of workers from court fees in labour disputes, prohibition of work under direct sunlight during the months of July and August and </w:t>
      </w:r>
      <w:r w:rsidR="003539F7">
        <w:t xml:space="preserve">the </w:t>
      </w:r>
      <w:r>
        <w:t>amendments made to regulations concerning periods of rest and leisure.</w:t>
      </w:r>
      <w:proofErr w:type="gramEnd"/>
      <w:r>
        <w:t xml:space="preserve"> The Committee is nevertheless concerned that:</w:t>
      </w:r>
    </w:p>
    <w:p w14:paraId="27B30D44" w14:textId="77777777" w:rsidR="005D686B" w:rsidRDefault="005D686B" w:rsidP="005D686B">
      <w:pPr>
        <w:pStyle w:val="SingleTxtG"/>
        <w:numPr>
          <w:ilvl w:val="0"/>
          <w:numId w:val="29"/>
        </w:numPr>
        <w:tabs>
          <w:tab w:val="clear" w:pos="1701"/>
          <w:tab w:val="clear" w:pos="2268"/>
          <w:tab w:val="clear" w:pos="2835"/>
        </w:tabs>
        <w:ind w:left="1134" w:firstLine="567"/>
      </w:pPr>
      <w:r>
        <w:t>Domestic workers and workers in the informal economy are not sufficiently protected by existing labour laws as only a limited number of provisions of the law are applicable to the enforcement of labour laws and regulations, including reports of non-payment of salaries, sub-standard conditions of work is not insufficient;</w:t>
      </w:r>
    </w:p>
    <w:p w14:paraId="1B10A739" w14:textId="77777777" w:rsidR="005D686B" w:rsidRDefault="005D686B" w:rsidP="005D686B">
      <w:pPr>
        <w:pStyle w:val="SingleTxtG"/>
        <w:numPr>
          <w:ilvl w:val="0"/>
          <w:numId w:val="29"/>
        </w:numPr>
        <w:tabs>
          <w:tab w:val="clear" w:pos="1701"/>
          <w:tab w:val="clear" w:pos="2268"/>
          <w:tab w:val="clear" w:pos="2835"/>
        </w:tabs>
        <w:ind w:left="1134" w:firstLine="567"/>
      </w:pPr>
      <w:r>
        <w:t xml:space="preserve">Some migrant workers </w:t>
      </w:r>
      <w:proofErr w:type="gramStart"/>
      <w:r>
        <w:t>are accommodated</w:t>
      </w:r>
      <w:proofErr w:type="gramEnd"/>
      <w:r>
        <w:t xml:space="preserve"> in unregistered and overcrowded facilities in substandard conditions (art. 7).</w:t>
      </w:r>
    </w:p>
    <w:p w14:paraId="68EBEE0D"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695B10">
        <w:rPr>
          <w:b/>
        </w:rPr>
        <w:t>The Committee recommends that the State party</w:t>
      </w:r>
      <w:r>
        <w:rPr>
          <w:b/>
        </w:rPr>
        <w:t>:</w:t>
      </w:r>
    </w:p>
    <w:p w14:paraId="3E185957" w14:textId="77777777" w:rsidR="005D686B" w:rsidRDefault="005D686B" w:rsidP="005D686B">
      <w:pPr>
        <w:pStyle w:val="SingleTxtG"/>
        <w:numPr>
          <w:ilvl w:val="0"/>
          <w:numId w:val="28"/>
        </w:numPr>
        <w:tabs>
          <w:tab w:val="clear" w:pos="1701"/>
          <w:tab w:val="clear" w:pos="2268"/>
          <w:tab w:val="clear" w:pos="2835"/>
        </w:tabs>
        <w:ind w:left="1134" w:firstLine="567"/>
        <w:rPr>
          <w:b/>
        </w:rPr>
      </w:pPr>
      <w:r>
        <w:rPr>
          <w:b/>
        </w:rPr>
        <w:t xml:space="preserve">Take legislative measures to </w:t>
      </w:r>
      <w:r w:rsidRPr="001E5E8E">
        <w:rPr>
          <w:b/>
        </w:rPr>
        <w:t>ensure that workers in all sectors of the economy, including domestic workers and workers in the informal economy, are protected by labour laws and regulations</w:t>
      </w:r>
      <w:r>
        <w:rPr>
          <w:b/>
        </w:rPr>
        <w:t xml:space="preserve"> with a view to ensuring their right to just and favourable conditions of work, including with regard to </w:t>
      </w:r>
      <w:r w:rsidRPr="00695B10">
        <w:rPr>
          <w:b/>
        </w:rPr>
        <w:t>remuneration, rest and leisure, limitation of working hours and protection a</w:t>
      </w:r>
      <w:r>
        <w:rPr>
          <w:b/>
        </w:rPr>
        <w:t>gainst unfair dismissal</w:t>
      </w:r>
      <w:r w:rsidRPr="001E5E8E">
        <w:rPr>
          <w:b/>
        </w:rPr>
        <w:t>;</w:t>
      </w:r>
    </w:p>
    <w:p w14:paraId="472838AB" w14:textId="77777777" w:rsidR="005D686B" w:rsidRDefault="005D686B" w:rsidP="005D686B">
      <w:pPr>
        <w:pStyle w:val="SingleTxtG"/>
        <w:numPr>
          <w:ilvl w:val="0"/>
          <w:numId w:val="28"/>
        </w:numPr>
        <w:tabs>
          <w:tab w:val="clear" w:pos="1701"/>
          <w:tab w:val="clear" w:pos="2268"/>
          <w:tab w:val="clear" w:pos="2835"/>
        </w:tabs>
        <w:ind w:left="1134" w:firstLine="567"/>
        <w:rPr>
          <w:b/>
        </w:rPr>
      </w:pPr>
      <w:r w:rsidRPr="001E5E8E">
        <w:rPr>
          <w:b/>
        </w:rPr>
        <w:t xml:space="preserve">Take </w:t>
      </w:r>
      <w:r>
        <w:rPr>
          <w:b/>
        </w:rPr>
        <w:t xml:space="preserve">all </w:t>
      </w:r>
      <w:r w:rsidRPr="001E5E8E">
        <w:rPr>
          <w:b/>
        </w:rPr>
        <w:t>necessary measures for the</w:t>
      </w:r>
      <w:r>
        <w:rPr>
          <w:b/>
        </w:rPr>
        <w:t xml:space="preserve"> effective</w:t>
      </w:r>
      <w:r w:rsidRPr="001E5E8E">
        <w:rPr>
          <w:b/>
        </w:rPr>
        <w:t xml:space="preserve"> enforcement of labour laws and regulations, </w:t>
      </w:r>
      <w:r>
        <w:rPr>
          <w:b/>
        </w:rPr>
        <w:t>and</w:t>
      </w:r>
      <w:r w:rsidRPr="001E5E8E">
        <w:rPr>
          <w:b/>
        </w:rPr>
        <w:t xml:space="preserve"> </w:t>
      </w:r>
      <w:r>
        <w:rPr>
          <w:b/>
        </w:rPr>
        <w:t>provide</w:t>
      </w:r>
      <w:r w:rsidRPr="001E5E8E">
        <w:rPr>
          <w:b/>
        </w:rPr>
        <w:t xml:space="preserve"> workers in all sectors protection from exploitation and abuse, including by</w:t>
      </w:r>
      <w:r>
        <w:rPr>
          <w:b/>
        </w:rPr>
        <w:t xml:space="preserve"> further</w:t>
      </w:r>
      <w:r w:rsidRPr="001E5E8E">
        <w:rPr>
          <w:b/>
        </w:rPr>
        <w:t xml:space="preserve"> improving complaint mechanisms in order to make them easily accessible, and </w:t>
      </w:r>
      <w:r>
        <w:rPr>
          <w:b/>
        </w:rPr>
        <w:t xml:space="preserve">protecting them against reprisals </w:t>
      </w:r>
      <w:r w:rsidRPr="001E5E8E">
        <w:rPr>
          <w:b/>
        </w:rPr>
        <w:t xml:space="preserve">by ensuring </w:t>
      </w:r>
      <w:r w:rsidRPr="009177D9">
        <w:rPr>
          <w:b/>
        </w:rPr>
        <w:t>that labour inspectorates are</w:t>
      </w:r>
      <w:r w:rsidRPr="001E5E8E">
        <w:rPr>
          <w:b/>
        </w:rPr>
        <w:t xml:space="preserve"> effective in monitoring conditions of work</w:t>
      </w:r>
      <w:r>
        <w:rPr>
          <w:b/>
        </w:rPr>
        <w:t xml:space="preserve">, including in </w:t>
      </w:r>
      <w:r w:rsidRPr="001E5E8E">
        <w:rPr>
          <w:b/>
        </w:rPr>
        <w:t>construction and service sectors;</w:t>
      </w:r>
      <w:r>
        <w:rPr>
          <w:b/>
        </w:rPr>
        <w:t xml:space="preserve"> </w:t>
      </w:r>
    </w:p>
    <w:p w14:paraId="6D12DEB2" w14:textId="77777777" w:rsidR="005D686B" w:rsidRPr="0073462C" w:rsidRDefault="005D686B" w:rsidP="005D686B">
      <w:pPr>
        <w:pStyle w:val="SingleTxtG"/>
        <w:numPr>
          <w:ilvl w:val="0"/>
          <w:numId w:val="28"/>
        </w:numPr>
        <w:tabs>
          <w:tab w:val="clear" w:pos="1701"/>
          <w:tab w:val="clear" w:pos="2268"/>
          <w:tab w:val="clear" w:pos="2835"/>
        </w:tabs>
        <w:ind w:left="1134" w:firstLine="567"/>
        <w:rPr>
          <w:b/>
        </w:rPr>
      </w:pPr>
      <w:r w:rsidRPr="0073462C">
        <w:rPr>
          <w:b/>
        </w:rPr>
        <w:t>Continue improving the conditions of migrant workers at work and at so-called workers’ accommodation facilities</w:t>
      </w:r>
      <w:r>
        <w:rPr>
          <w:b/>
        </w:rPr>
        <w:t>, and ensure</w:t>
      </w:r>
      <w:r w:rsidRPr="001E5E8E">
        <w:rPr>
          <w:b/>
        </w:rPr>
        <w:t xml:space="preserve"> that </w:t>
      </w:r>
      <w:r>
        <w:rPr>
          <w:b/>
        </w:rPr>
        <w:t xml:space="preserve">these facilities are also subject to monitoring by </w:t>
      </w:r>
      <w:r w:rsidRPr="001E5E8E">
        <w:rPr>
          <w:b/>
        </w:rPr>
        <w:t>labour inspectorates</w:t>
      </w:r>
      <w:r>
        <w:rPr>
          <w:b/>
        </w:rPr>
        <w:t>;</w:t>
      </w:r>
    </w:p>
    <w:p w14:paraId="07F6460F" w14:textId="77777777" w:rsidR="005D686B" w:rsidRDefault="005D686B" w:rsidP="005D686B">
      <w:pPr>
        <w:pStyle w:val="SingleTxtG"/>
        <w:numPr>
          <w:ilvl w:val="0"/>
          <w:numId w:val="28"/>
        </w:numPr>
        <w:tabs>
          <w:tab w:val="clear" w:pos="1701"/>
          <w:tab w:val="clear" w:pos="2268"/>
          <w:tab w:val="clear" w:pos="2835"/>
        </w:tabs>
        <w:ind w:left="1134" w:firstLine="567"/>
        <w:rPr>
          <w:b/>
        </w:rPr>
      </w:pPr>
      <w:r>
        <w:rPr>
          <w:b/>
        </w:rPr>
        <w:t xml:space="preserve">Refer </w:t>
      </w:r>
      <w:r w:rsidRPr="00695B10">
        <w:rPr>
          <w:b/>
        </w:rPr>
        <w:t xml:space="preserve">to </w:t>
      </w:r>
      <w:r>
        <w:rPr>
          <w:b/>
        </w:rPr>
        <w:t>the Committee’s</w:t>
      </w:r>
      <w:r w:rsidRPr="00695B10">
        <w:rPr>
          <w:b/>
        </w:rPr>
        <w:t xml:space="preserve"> general comment No. 23 (2016) on the right to just and favourable conditions of work</w:t>
      </w:r>
      <w:r>
        <w:rPr>
          <w:b/>
        </w:rPr>
        <w:t>;</w:t>
      </w:r>
    </w:p>
    <w:p w14:paraId="0DEA5670" w14:textId="77777777" w:rsidR="005D686B" w:rsidRPr="0073462C" w:rsidRDefault="005D686B" w:rsidP="005D686B">
      <w:pPr>
        <w:pStyle w:val="SingleTxtG"/>
        <w:numPr>
          <w:ilvl w:val="0"/>
          <w:numId w:val="28"/>
        </w:numPr>
        <w:tabs>
          <w:tab w:val="clear" w:pos="1701"/>
          <w:tab w:val="clear" w:pos="2268"/>
          <w:tab w:val="clear" w:pos="2835"/>
        </w:tabs>
        <w:ind w:left="1134" w:firstLine="567"/>
        <w:rPr>
          <w:b/>
        </w:rPr>
      </w:pPr>
      <w:r w:rsidRPr="0073462C">
        <w:rPr>
          <w:b/>
        </w:rPr>
        <w:t>Consider ratifying the International Labour Organization Domestic Workers Convention, 2011 (No. 189)</w:t>
      </w:r>
      <w:r>
        <w:rPr>
          <w:b/>
        </w:rPr>
        <w:t>.</w:t>
      </w:r>
    </w:p>
    <w:p w14:paraId="7202C7DF" w14:textId="77777777" w:rsidR="005D686B" w:rsidRDefault="005D686B" w:rsidP="005D686B">
      <w:pPr>
        <w:pStyle w:val="H23G"/>
        <w:tabs>
          <w:tab w:val="left" w:pos="720"/>
        </w:tabs>
        <w:ind w:firstLine="0"/>
      </w:pPr>
      <w:r>
        <w:lastRenderedPageBreak/>
        <w:t>Trade union rights</w:t>
      </w:r>
    </w:p>
    <w:p w14:paraId="6FBAB743" w14:textId="77777777" w:rsidR="005D686B" w:rsidRDefault="005D686B" w:rsidP="005D686B">
      <w:pPr>
        <w:pStyle w:val="SingleTxtG"/>
        <w:numPr>
          <w:ilvl w:val="0"/>
          <w:numId w:val="24"/>
        </w:numPr>
        <w:tabs>
          <w:tab w:val="clear" w:pos="1701"/>
          <w:tab w:val="clear" w:pos="2268"/>
          <w:tab w:val="clear" w:pos="2835"/>
        </w:tabs>
        <w:ind w:left="1134" w:firstLine="0"/>
      </w:pPr>
      <w:r>
        <w:t>The Committee notes that the State party’s Trade Unions Act recognizes the right to form and join trade unions and the right to strike. While taking into account the declaration made by the State party upon its accession to the Covenant concerning its article 8, paragraph 1 (d), the Committee expresses concern with regard to the facts that:</w:t>
      </w:r>
    </w:p>
    <w:p w14:paraId="69156BEA" w14:textId="77777777" w:rsidR="005D686B" w:rsidRDefault="005D686B" w:rsidP="005D686B">
      <w:pPr>
        <w:pStyle w:val="SingleTxtG"/>
        <w:numPr>
          <w:ilvl w:val="0"/>
          <w:numId w:val="30"/>
        </w:numPr>
        <w:tabs>
          <w:tab w:val="clear" w:pos="1701"/>
          <w:tab w:val="left" w:pos="1134"/>
        </w:tabs>
        <w:ind w:left="1134" w:firstLine="567"/>
      </w:pPr>
      <w:r>
        <w:t>Although migrant workers may join trade unions, trade union leadership roles are reserved only for citizens;</w:t>
      </w:r>
    </w:p>
    <w:p w14:paraId="75D9E378" w14:textId="77777777" w:rsidR="005D686B" w:rsidRDefault="005D686B" w:rsidP="005D686B">
      <w:pPr>
        <w:pStyle w:val="SingleTxtG"/>
        <w:numPr>
          <w:ilvl w:val="0"/>
          <w:numId w:val="30"/>
        </w:numPr>
        <w:tabs>
          <w:tab w:val="clear" w:pos="1701"/>
          <w:tab w:val="left" w:pos="1134"/>
        </w:tabs>
        <w:ind w:left="1134" w:firstLine="567"/>
      </w:pPr>
      <w:r>
        <w:t>The law does not provide for the right to collective bargaining;</w:t>
      </w:r>
    </w:p>
    <w:p w14:paraId="42F86F46" w14:textId="77777777" w:rsidR="005D686B" w:rsidRPr="009177D9" w:rsidRDefault="005D686B" w:rsidP="005D686B">
      <w:pPr>
        <w:pStyle w:val="SingleTxtG"/>
        <w:numPr>
          <w:ilvl w:val="0"/>
          <w:numId w:val="30"/>
        </w:numPr>
        <w:tabs>
          <w:tab w:val="clear" w:pos="1701"/>
          <w:tab w:val="left" w:pos="1134"/>
        </w:tabs>
        <w:ind w:left="1134" w:firstLine="567"/>
      </w:pPr>
      <w:r w:rsidRPr="009177D9">
        <w:t>The law prohibits the right to strike, in numerous sectors of the economy including in the oil, gas and education ;</w:t>
      </w:r>
    </w:p>
    <w:p w14:paraId="4FD1B3DC" w14:textId="77777777" w:rsidR="005D686B" w:rsidRDefault="005D686B" w:rsidP="005D686B">
      <w:pPr>
        <w:pStyle w:val="SingleTxtG"/>
        <w:numPr>
          <w:ilvl w:val="0"/>
          <w:numId w:val="30"/>
        </w:numPr>
        <w:tabs>
          <w:tab w:val="clear" w:pos="1701"/>
          <w:tab w:val="left" w:pos="1134"/>
        </w:tabs>
        <w:ind w:left="1134" w:firstLine="567"/>
      </w:pPr>
      <w:r>
        <w:t xml:space="preserve">The law does not require reinstatement of workers whose contracts </w:t>
      </w:r>
      <w:proofErr w:type="gramStart"/>
      <w:r>
        <w:t>have been terminated</w:t>
      </w:r>
      <w:proofErr w:type="gramEnd"/>
      <w:r>
        <w:t xml:space="preserve"> for their participation in trade union activities (art. 8).</w:t>
      </w:r>
    </w:p>
    <w:p w14:paraId="3AEDDA2F" w14:textId="77777777" w:rsidR="005D686B" w:rsidRPr="007014AA" w:rsidRDefault="005D686B" w:rsidP="005D686B">
      <w:pPr>
        <w:pStyle w:val="SingleTxtG"/>
        <w:numPr>
          <w:ilvl w:val="0"/>
          <w:numId w:val="24"/>
        </w:numPr>
        <w:tabs>
          <w:tab w:val="clear" w:pos="1701"/>
          <w:tab w:val="clear" w:pos="2268"/>
          <w:tab w:val="clear" w:pos="2835"/>
        </w:tabs>
        <w:ind w:left="1134" w:firstLine="0"/>
        <w:rPr>
          <w:b/>
        </w:rPr>
      </w:pPr>
      <w:r w:rsidRPr="0069028E">
        <w:rPr>
          <w:b/>
        </w:rPr>
        <w:t xml:space="preserve">The Committee recommends that the State </w:t>
      </w:r>
      <w:r>
        <w:rPr>
          <w:b/>
        </w:rPr>
        <w:t>party take legislative measures in order to:</w:t>
      </w:r>
    </w:p>
    <w:p w14:paraId="51D8200E" w14:textId="77777777" w:rsidR="005D686B" w:rsidRDefault="005D686B" w:rsidP="005D686B">
      <w:pPr>
        <w:pStyle w:val="SingleTxtG"/>
        <w:numPr>
          <w:ilvl w:val="0"/>
          <w:numId w:val="31"/>
        </w:numPr>
        <w:tabs>
          <w:tab w:val="clear" w:pos="1701"/>
          <w:tab w:val="clear" w:pos="2268"/>
          <w:tab w:val="clear" w:pos="2835"/>
        </w:tabs>
        <w:ind w:left="1134" w:firstLine="567"/>
        <w:rPr>
          <w:b/>
        </w:rPr>
      </w:pPr>
      <w:r>
        <w:rPr>
          <w:b/>
        </w:rPr>
        <w:t>Ensure that migrant workers can also take trade union leadership roles without discrimination;</w:t>
      </w:r>
    </w:p>
    <w:p w14:paraId="6B5290E6" w14:textId="77777777" w:rsidR="005D686B" w:rsidRDefault="005D686B" w:rsidP="005D686B">
      <w:pPr>
        <w:pStyle w:val="SingleTxtG"/>
        <w:numPr>
          <w:ilvl w:val="0"/>
          <w:numId w:val="31"/>
        </w:numPr>
        <w:tabs>
          <w:tab w:val="clear" w:pos="1701"/>
          <w:tab w:val="clear" w:pos="2268"/>
          <w:tab w:val="clear" w:pos="2835"/>
        </w:tabs>
        <w:ind w:left="1134" w:firstLine="567"/>
        <w:rPr>
          <w:b/>
        </w:rPr>
      </w:pPr>
      <w:r>
        <w:rPr>
          <w:b/>
        </w:rPr>
        <w:t>Guarantee the right to collective bargaining;</w:t>
      </w:r>
    </w:p>
    <w:p w14:paraId="598DC343" w14:textId="77777777" w:rsidR="005D686B" w:rsidRDefault="005D686B" w:rsidP="005D686B">
      <w:pPr>
        <w:pStyle w:val="SingleTxtG"/>
        <w:numPr>
          <w:ilvl w:val="0"/>
          <w:numId w:val="31"/>
        </w:numPr>
        <w:tabs>
          <w:tab w:val="clear" w:pos="1701"/>
          <w:tab w:val="clear" w:pos="2268"/>
          <w:tab w:val="clear" w:pos="2835"/>
        </w:tabs>
        <w:ind w:left="1134" w:firstLine="567"/>
        <w:rPr>
          <w:b/>
        </w:rPr>
      </w:pPr>
      <w:r w:rsidRPr="007014AA">
        <w:rPr>
          <w:b/>
        </w:rPr>
        <w:t>Ensure that restrictions on the right to strike for certain sectors of work are interpreted in the strict sense, with a view to ensuring that all those workers whose services cannot re</w:t>
      </w:r>
      <w:r>
        <w:rPr>
          <w:b/>
        </w:rPr>
        <w:t xml:space="preserve">asonably be deemed as essential </w:t>
      </w:r>
      <w:r w:rsidRPr="007014AA">
        <w:rPr>
          <w:b/>
        </w:rPr>
        <w:t>are entitled to their right to strike;</w:t>
      </w:r>
    </w:p>
    <w:p w14:paraId="2E88B6FC" w14:textId="77777777" w:rsidR="005D686B" w:rsidRDefault="005D686B" w:rsidP="005D686B">
      <w:pPr>
        <w:pStyle w:val="SingleTxtG"/>
        <w:numPr>
          <w:ilvl w:val="0"/>
          <w:numId w:val="31"/>
        </w:numPr>
        <w:tabs>
          <w:tab w:val="clear" w:pos="1701"/>
          <w:tab w:val="clear" w:pos="2268"/>
          <w:tab w:val="clear" w:pos="2835"/>
        </w:tabs>
        <w:ind w:left="1134" w:firstLine="567"/>
        <w:rPr>
          <w:b/>
        </w:rPr>
      </w:pPr>
      <w:r w:rsidRPr="007014AA">
        <w:rPr>
          <w:b/>
        </w:rPr>
        <w:t xml:space="preserve">Ensure that workers who engage in trade union activities are </w:t>
      </w:r>
      <w:r>
        <w:rPr>
          <w:b/>
        </w:rPr>
        <w:t xml:space="preserve">effectively </w:t>
      </w:r>
      <w:r w:rsidRPr="007014AA">
        <w:rPr>
          <w:b/>
        </w:rPr>
        <w:t>protected from any harassment and retaliatory actions, including transferral or unfair dismissal</w:t>
      </w:r>
      <w:r>
        <w:rPr>
          <w:b/>
        </w:rPr>
        <w:t>;</w:t>
      </w:r>
    </w:p>
    <w:p w14:paraId="4DE0ACA0" w14:textId="77777777" w:rsidR="005D686B" w:rsidRPr="007014AA" w:rsidRDefault="005D686B" w:rsidP="005D686B">
      <w:pPr>
        <w:pStyle w:val="SingleTxtG"/>
        <w:numPr>
          <w:ilvl w:val="0"/>
          <w:numId w:val="31"/>
        </w:numPr>
        <w:tabs>
          <w:tab w:val="clear" w:pos="1701"/>
          <w:tab w:val="clear" w:pos="2268"/>
          <w:tab w:val="clear" w:pos="2835"/>
        </w:tabs>
        <w:ind w:left="1134" w:firstLine="567"/>
        <w:rPr>
          <w:b/>
        </w:rPr>
      </w:pPr>
      <w:r w:rsidRPr="007014AA">
        <w:rPr>
          <w:b/>
        </w:rPr>
        <w:t>Consider ratifying the International Labour Organization Freedom of Association and Protection of the Right to Organise Convention, 1948 (No. 87), and the Right to Organise and Collective Bargaining Convention, 1949 (No. 98).</w:t>
      </w:r>
    </w:p>
    <w:p w14:paraId="3F4B501D" w14:textId="77777777" w:rsidR="005D686B" w:rsidRDefault="005D686B" w:rsidP="005D686B">
      <w:pPr>
        <w:pStyle w:val="H23G"/>
        <w:tabs>
          <w:tab w:val="left" w:pos="720"/>
        </w:tabs>
        <w:ind w:firstLine="0"/>
      </w:pPr>
      <w:r>
        <w:t>Right to social security</w:t>
      </w:r>
    </w:p>
    <w:p w14:paraId="474D4825" w14:textId="26C1BA54" w:rsidR="005D686B" w:rsidRDefault="005D686B" w:rsidP="005D686B">
      <w:pPr>
        <w:pStyle w:val="SingleTxtG"/>
        <w:numPr>
          <w:ilvl w:val="0"/>
          <w:numId w:val="24"/>
        </w:numPr>
        <w:tabs>
          <w:tab w:val="clear" w:pos="1701"/>
          <w:tab w:val="clear" w:pos="2268"/>
          <w:tab w:val="clear" w:pos="2835"/>
        </w:tabs>
        <w:ind w:left="1134" w:firstLine="0"/>
      </w:pPr>
      <w:r>
        <w:t>The Committee notes that the State party provides social support</w:t>
      </w:r>
      <w:r w:rsidRPr="005D4ACB">
        <w:t xml:space="preserve"> </w:t>
      </w:r>
      <w:r>
        <w:t xml:space="preserve">in the form of cash benefits, under its Social Security Act No. 18 of 2006, to families or individuals who do not have a sufficient source of income. It also notes that the State party has established contributory social security schemes under Act No. 13 of 1975, Decree-Law No. 11 of 1976, and Decree-Law No. 24 of 1976. However, the Committee regrets the lack of statistical information about coverage of its population by both contributory and non-contributory social security schemes, including </w:t>
      </w:r>
      <w:r w:rsidRPr="005D4ACB">
        <w:t>disadvantaged and margin</w:t>
      </w:r>
      <w:r>
        <w:t>alized individuals and families; it also regrets the lack of information</w:t>
      </w:r>
      <w:r w:rsidR="00A3036E">
        <w:t xml:space="preserve"> </w:t>
      </w:r>
      <w:r>
        <w:t xml:space="preserve">on </w:t>
      </w:r>
      <w:r w:rsidRPr="00DB0FCE">
        <w:t>whether the amount of social assistance benefits is sufficient to cover the real costs of living</w:t>
      </w:r>
      <w:r>
        <w:t>, including during the Covid-19</w:t>
      </w:r>
      <w:r w:rsidRPr="00DB0FCE">
        <w:t xml:space="preserve"> </w:t>
      </w:r>
      <w:r>
        <w:t xml:space="preserve">pandemic </w:t>
      </w:r>
      <w:r w:rsidRPr="00DB0FCE">
        <w:t>(art. 9).</w:t>
      </w:r>
    </w:p>
    <w:p w14:paraId="7AD58496" w14:textId="277C39A7" w:rsidR="005D686B" w:rsidRPr="0005574B" w:rsidRDefault="005D686B" w:rsidP="005D686B">
      <w:pPr>
        <w:pStyle w:val="SingleTxtG"/>
        <w:numPr>
          <w:ilvl w:val="0"/>
          <w:numId w:val="24"/>
        </w:numPr>
        <w:tabs>
          <w:tab w:val="clear" w:pos="1701"/>
          <w:tab w:val="clear" w:pos="2268"/>
          <w:tab w:val="clear" w:pos="2835"/>
        </w:tabs>
        <w:ind w:left="1134" w:firstLine="0"/>
        <w:rPr>
          <w:b/>
        </w:rPr>
      </w:pPr>
      <w:r w:rsidRPr="0005574B">
        <w:rPr>
          <w:b/>
        </w:rPr>
        <w:t xml:space="preserve">The Committee recommends that the State party provide in its next periodic report comparative statistical data on recipients of social </w:t>
      </w:r>
      <w:r>
        <w:rPr>
          <w:b/>
        </w:rPr>
        <w:t>security benefits</w:t>
      </w:r>
      <w:r w:rsidRPr="0005574B">
        <w:rPr>
          <w:b/>
        </w:rPr>
        <w:t xml:space="preserve">, disaggregated by sex, </w:t>
      </w:r>
      <w:r w:rsidRPr="00A20C1E">
        <w:rPr>
          <w:b/>
        </w:rPr>
        <w:t>age group, nationality, disability, family size, income group and other relevant criteria, including during the</w:t>
      </w:r>
      <w:r w:rsidR="00A3036E">
        <w:rPr>
          <w:b/>
        </w:rPr>
        <w:t xml:space="preserve"> </w:t>
      </w:r>
      <w:r w:rsidRPr="00A20C1E">
        <w:rPr>
          <w:b/>
        </w:rPr>
        <w:t>Covid-19 pandemic,</w:t>
      </w:r>
      <w:r>
        <w:rPr>
          <w:b/>
        </w:rPr>
        <w:t xml:space="preserve"> </w:t>
      </w:r>
      <w:r w:rsidRPr="0005574B">
        <w:rPr>
          <w:b/>
        </w:rPr>
        <w:t xml:space="preserve">to enable the Committee to better assess the </w:t>
      </w:r>
      <w:r>
        <w:rPr>
          <w:b/>
        </w:rPr>
        <w:t>social security</w:t>
      </w:r>
      <w:r w:rsidRPr="0005574B">
        <w:rPr>
          <w:b/>
        </w:rPr>
        <w:t xml:space="preserve"> system of the State party. </w:t>
      </w:r>
      <w:r>
        <w:rPr>
          <w:b/>
        </w:rPr>
        <w:t xml:space="preserve">In this </w:t>
      </w:r>
      <w:r w:rsidRPr="0005574B">
        <w:rPr>
          <w:b/>
        </w:rPr>
        <w:t>regard, please also include information on the correlation between social security benef</w:t>
      </w:r>
      <w:r>
        <w:rPr>
          <w:b/>
        </w:rPr>
        <w:t xml:space="preserve">its and the cost of living </w:t>
      </w:r>
      <w:proofErr w:type="gramStart"/>
      <w:r>
        <w:rPr>
          <w:b/>
        </w:rPr>
        <w:t>should also</w:t>
      </w:r>
      <w:proofErr w:type="gramEnd"/>
      <w:r>
        <w:rPr>
          <w:b/>
        </w:rPr>
        <w:t xml:space="preserve"> be included in the report in order</w:t>
      </w:r>
      <w:r w:rsidRPr="0005574B">
        <w:rPr>
          <w:b/>
        </w:rPr>
        <w:t xml:space="preserve"> to guarantee beneficiaries and their families an adequate standard of living. The Committee draws the State party’s attention to its general comment No. 19 (2008) on the right to social security.</w:t>
      </w:r>
    </w:p>
    <w:p w14:paraId="6C4C63D4" w14:textId="77777777" w:rsidR="005D686B" w:rsidRDefault="005D686B" w:rsidP="005D686B">
      <w:pPr>
        <w:pStyle w:val="H23G"/>
        <w:tabs>
          <w:tab w:val="clear" w:pos="851"/>
        </w:tabs>
        <w:ind w:firstLine="0"/>
      </w:pPr>
      <w:r>
        <w:t>Parental leave</w:t>
      </w:r>
    </w:p>
    <w:p w14:paraId="499EA73D" w14:textId="77777777" w:rsidR="005D686B" w:rsidRDefault="005D686B" w:rsidP="005D686B">
      <w:pPr>
        <w:pStyle w:val="SingleTxtG"/>
        <w:numPr>
          <w:ilvl w:val="0"/>
          <w:numId w:val="24"/>
        </w:numPr>
        <w:tabs>
          <w:tab w:val="clear" w:pos="1701"/>
          <w:tab w:val="clear" w:pos="2268"/>
          <w:tab w:val="clear" w:pos="2835"/>
        </w:tabs>
        <w:ind w:left="1134" w:firstLine="0"/>
      </w:pPr>
      <w:r>
        <w:t>While noting the information provided by the State party in relation to provision of maternity leave for working mothers in private and public sectors (</w:t>
      </w:r>
      <w:r w:rsidRPr="00823F39">
        <w:t>E/C.12/BHR/1</w:t>
      </w:r>
      <w:r>
        <w:t>, paras. 162-170), the Committee is concerned a</w:t>
      </w:r>
      <w:r w:rsidRPr="00823F39">
        <w:t>bou</w:t>
      </w:r>
      <w:r>
        <w:t>t the absence of parental leave and</w:t>
      </w:r>
      <w:r w:rsidRPr="00823F39">
        <w:t xml:space="preserve"> the </w:t>
      </w:r>
      <w:r>
        <w:t>short length of paternity leave (arts. 3 and 10).</w:t>
      </w:r>
    </w:p>
    <w:p w14:paraId="6682A64D" w14:textId="77777777" w:rsidR="005D686B" w:rsidRPr="00887AC7" w:rsidRDefault="005D686B" w:rsidP="005D686B">
      <w:pPr>
        <w:pStyle w:val="SingleTxtG"/>
        <w:numPr>
          <w:ilvl w:val="0"/>
          <w:numId w:val="24"/>
        </w:numPr>
        <w:tabs>
          <w:tab w:val="clear" w:pos="1701"/>
          <w:tab w:val="clear" w:pos="2268"/>
          <w:tab w:val="clear" w:pos="2835"/>
        </w:tabs>
        <w:ind w:left="1134" w:firstLine="0"/>
        <w:rPr>
          <w:b/>
        </w:rPr>
      </w:pPr>
      <w:r w:rsidRPr="00887AC7">
        <w:rPr>
          <w:b/>
        </w:rPr>
        <w:lastRenderedPageBreak/>
        <w:t>The Committee recommends that the State party take legislative measures to ensure statutory entitlement to all family care-related leave, including p</w:t>
      </w:r>
      <w:r>
        <w:rPr>
          <w:b/>
        </w:rPr>
        <w:t>a</w:t>
      </w:r>
      <w:r w:rsidRPr="00887AC7">
        <w:rPr>
          <w:b/>
        </w:rPr>
        <w:t>r</w:t>
      </w:r>
      <w:r>
        <w:rPr>
          <w:b/>
        </w:rPr>
        <w:t>ental</w:t>
      </w:r>
      <w:r w:rsidRPr="00887AC7">
        <w:rPr>
          <w:b/>
        </w:rPr>
        <w:t xml:space="preserve"> leave and extended paternity leave. It also recommends that the State party take all the measures necessary to meet the childcare needs of families.</w:t>
      </w:r>
    </w:p>
    <w:p w14:paraId="3D32BB54" w14:textId="77777777" w:rsidR="005D686B" w:rsidRPr="00B159EB" w:rsidRDefault="005D686B" w:rsidP="005D686B">
      <w:pPr>
        <w:pStyle w:val="H23G"/>
        <w:tabs>
          <w:tab w:val="clear" w:pos="851"/>
        </w:tabs>
        <w:ind w:firstLine="0"/>
        <w:rPr>
          <w:b w:val="0"/>
        </w:rPr>
      </w:pPr>
      <w:r>
        <w:t xml:space="preserve">Protection of the family </w:t>
      </w:r>
    </w:p>
    <w:p w14:paraId="5E4959CF" w14:textId="77777777" w:rsidR="005D686B" w:rsidRDefault="005D686B" w:rsidP="005D686B">
      <w:pPr>
        <w:pStyle w:val="SingleTxtG"/>
        <w:numPr>
          <w:ilvl w:val="0"/>
          <w:numId w:val="24"/>
        </w:numPr>
        <w:tabs>
          <w:tab w:val="clear" w:pos="1701"/>
          <w:tab w:val="clear" w:pos="2268"/>
          <w:tab w:val="clear" w:pos="2835"/>
        </w:tabs>
        <w:ind w:left="1134" w:firstLine="0"/>
      </w:pPr>
      <w:proofErr w:type="gramStart"/>
      <w:r>
        <w:t>While noting the information provided by the State party in relation to efforts undertaken for the protection of children and the family, (E/C.12/BHR/1, paras. 120-236), including</w:t>
      </w:r>
      <w:r w:rsidRPr="0041687D">
        <w:t xml:space="preserve"> </w:t>
      </w:r>
      <w:r>
        <w:t>the enactment of Act No. 17 of 2015 defining</w:t>
      </w:r>
      <w:r w:rsidRPr="0041687D">
        <w:t xml:space="preserve"> domestic violence</w:t>
      </w:r>
      <w:r>
        <w:t xml:space="preserve"> , the</w:t>
      </w:r>
      <w:r w:rsidRPr="00655B8D">
        <w:t xml:space="preserve"> Committee</w:t>
      </w:r>
      <w:r>
        <w:t xml:space="preserve"> notes with</w:t>
      </w:r>
      <w:r w:rsidRPr="00D44F61">
        <w:t xml:space="preserve"> concern </w:t>
      </w:r>
      <w:r>
        <w:t xml:space="preserve">that the personal status laws of the State party relating to </w:t>
      </w:r>
      <w:r w:rsidRPr="00D44F61">
        <w:t>marriage, age of marriage, divorce, child custody, guardianship and inheritance</w:t>
      </w:r>
      <w:r>
        <w:t xml:space="preserve"> are not sufficiently harmonized and they are discriminatory with regard to sex, nationality, religion and belief (arts. 2, 3 and 10).</w:t>
      </w:r>
      <w:proofErr w:type="gramEnd"/>
      <w:r>
        <w:t xml:space="preserve"> </w:t>
      </w:r>
    </w:p>
    <w:p w14:paraId="3F07414D" w14:textId="77777777" w:rsidR="005D686B" w:rsidRPr="009177D9" w:rsidRDefault="005D686B" w:rsidP="005D686B">
      <w:pPr>
        <w:pStyle w:val="SingleTxtG"/>
        <w:numPr>
          <w:ilvl w:val="0"/>
          <w:numId w:val="24"/>
        </w:numPr>
        <w:tabs>
          <w:tab w:val="clear" w:pos="1701"/>
          <w:tab w:val="clear" w:pos="2268"/>
          <w:tab w:val="clear" w:pos="2835"/>
        </w:tabs>
        <w:ind w:left="1134" w:firstLine="0"/>
        <w:rPr>
          <w:b/>
          <w:bCs/>
        </w:rPr>
      </w:pPr>
      <w:r>
        <w:rPr>
          <w:b/>
        </w:rPr>
        <w:t>Modify</w:t>
      </w:r>
      <w:r w:rsidRPr="00713D87">
        <w:rPr>
          <w:b/>
        </w:rPr>
        <w:t xml:space="preserve"> its personal status laws relating to marriage, age of marriage, divorce, child custody, guardianship and inheritance, with a view to harmonizing them and ensuring their compliance with articles 2, 3 and 10 of the Covenant.</w:t>
      </w:r>
      <w:r>
        <w:rPr>
          <w:b/>
        </w:rPr>
        <w:t xml:space="preserve"> </w:t>
      </w:r>
    </w:p>
    <w:p w14:paraId="1460FE6B" w14:textId="77777777" w:rsidR="005D686B" w:rsidRDefault="005D686B" w:rsidP="005D686B">
      <w:pPr>
        <w:pStyle w:val="H23G"/>
        <w:tabs>
          <w:tab w:val="clear" w:pos="851"/>
        </w:tabs>
        <w:ind w:firstLine="0"/>
      </w:pPr>
      <w:r>
        <w:t xml:space="preserve">Protection of Children </w:t>
      </w:r>
    </w:p>
    <w:p w14:paraId="680D015F" w14:textId="515F34D3" w:rsidR="005D686B" w:rsidRDefault="005D686B" w:rsidP="005D686B">
      <w:pPr>
        <w:pStyle w:val="SingleTxtG"/>
        <w:numPr>
          <w:ilvl w:val="0"/>
          <w:numId w:val="24"/>
        </w:numPr>
        <w:tabs>
          <w:tab w:val="clear" w:pos="1701"/>
          <w:tab w:val="clear" w:pos="2268"/>
          <w:tab w:val="clear" w:pos="2835"/>
        </w:tabs>
        <w:ind w:left="1134" w:firstLine="0"/>
      </w:pPr>
      <w:r>
        <w:t>While also noting the enactment of l</w:t>
      </w:r>
      <w:r w:rsidRPr="00B849A7">
        <w:t xml:space="preserve">aw 4/2021 on the promulgation of </w:t>
      </w:r>
      <w:r>
        <w:t>the corrective justice l</w:t>
      </w:r>
      <w:r w:rsidRPr="0041687D">
        <w:t xml:space="preserve">aw for </w:t>
      </w:r>
      <w:r>
        <w:t>c</w:t>
      </w:r>
      <w:r w:rsidRPr="00B849A7">
        <w:t xml:space="preserve">hildren and </w:t>
      </w:r>
      <w:r>
        <w:t>their p</w:t>
      </w:r>
      <w:r w:rsidRPr="0041687D">
        <w:t xml:space="preserve">rotection from </w:t>
      </w:r>
      <w:r>
        <w:t>i</w:t>
      </w:r>
      <w:r w:rsidRPr="0041687D">
        <w:t>ll-</w:t>
      </w:r>
      <w:r>
        <w:t>t</w:t>
      </w:r>
      <w:r w:rsidRPr="00B849A7">
        <w:t>reatment</w:t>
      </w:r>
      <w:r>
        <w:t>, the Committee notes with concerns that t</w:t>
      </w:r>
      <w:r w:rsidRPr="00FD51B8">
        <w:t xml:space="preserve">he provisions </w:t>
      </w:r>
      <w:r>
        <w:t>of this law do not prejudice the jurisdiction of the military judiciary over crimes within its jurisdiction (art.</w:t>
      </w:r>
      <w:r w:rsidR="00551995">
        <w:t>10</w:t>
      </w:r>
      <w:r>
        <w:t>).</w:t>
      </w:r>
      <w:r w:rsidR="00A3036E">
        <w:t xml:space="preserve"> </w:t>
      </w:r>
    </w:p>
    <w:p w14:paraId="55FA83AF" w14:textId="77777777" w:rsidR="005D686B" w:rsidRPr="009177D9" w:rsidRDefault="005D686B" w:rsidP="005D686B">
      <w:pPr>
        <w:pStyle w:val="SingleTxtG"/>
        <w:numPr>
          <w:ilvl w:val="0"/>
          <w:numId w:val="24"/>
        </w:numPr>
        <w:tabs>
          <w:tab w:val="clear" w:pos="1701"/>
          <w:tab w:val="clear" w:pos="2268"/>
          <w:tab w:val="clear" w:pos="2835"/>
        </w:tabs>
        <w:ind w:left="1134" w:firstLine="0"/>
        <w:rPr>
          <w:b/>
        </w:rPr>
      </w:pPr>
      <w:r w:rsidRPr="00713D87">
        <w:rPr>
          <w:b/>
        </w:rPr>
        <w:t>The Committee recommends that</w:t>
      </w:r>
      <w:r>
        <w:rPr>
          <w:b/>
        </w:rPr>
        <w:t xml:space="preserve"> the State party:</w:t>
      </w:r>
    </w:p>
    <w:p w14:paraId="069AB92E" w14:textId="22066688" w:rsidR="005D686B" w:rsidRPr="00EE158D" w:rsidRDefault="005D686B" w:rsidP="005D686B">
      <w:pPr>
        <w:pStyle w:val="SingleTxtG"/>
        <w:numPr>
          <w:ilvl w:val="0"/>
          <w:numId w:val="32"/>
        </w:numPr>
        <w:ind w:left="1134" w:firstLine="567"/>
        <w:rPr>
          <w:b/>
        </w:rPr>
      </w:pPr>
      <w:r w:rsidRPr="00EE158D">
        <w:rPr>
          <w:b/>
        </w:rPr>
        <w:t>Expeditiously pass into law the correctional justice bill, the amendment to the Citizenship Act and other measures aimed at harmonizing the legislation of Bahrain with the Convention on the Rights of the Child</w:t>
      </w:r>
      <w:r w:rsidR="00431D15">
        <w:rPr>
          <w:b/>
        </w:rPr>
        <w:t>;</w:t>
      </w:r>
    </w:p>
    <w:p w14:paraId="78BEBCB3" w14:textId="47628EEF" w:rsidR="005D686B" w:rsidRPr="00EE158D" w:rsidRDefault="005D686B" w:rsidP="005D686B">
      <w:pPr>
        <w:pStyle w:val="SingleTxtG"/>
        <w:numPr>
          <w:ilvl w:val="0"/>
          <w:numId w:val="32"/>
        </w:numPr>
        <w:ind w:left="1134" w:firstLine="567"/>
        <w:rPr>
          <w:b/>
        </w:rPr>
      </w:pPr>
      <w:r w:rsidRPr="00EE158D">
        <w:rPr>
          <w:b/>
        </w:rPr>
        <w:t>Ensure the provision of qualified, free and independent legal aid to children in conflict with the law from the beginning of the investigation and throughout the legal proceedings, and grant access to a lawyer and to family immediately after arrest</w:t>
      </w:r>
      <w:r w:rsidR="00431D15">
        <w:rPr>
          <w:b/>
        </w:rPr>
        <w:t xml:space="preserve">. </w:t>
      </w:r>
    </w:p>
    <w:p w14:paraId="485A1890" w14:textId="77777777" w:rsidR="005D686B" w:rsidRDefault="005D686B" w:rsidP="005D686B">
      <w:pPr>
        <w:pStyle w:val="H23G"/>
        <w:tabs>
          <w:tab w:val="left" w:pos="720"/>
        </w:tabs>
        <w:ind w:firstLine="0"/>
        <w:rPr>
          <w:b w:val="0"/>
          <w:sz w:val="22"/>
        </w:rPr>
      </w:pPr>
      <w:r>
        <w:t>Rights to water and sanitation</w:t>
      </w:r>
    </w:p>
    <w:p w14:paraId="436D17C4" w14:textId="49D73C69" w:rsidR="005D686B" w:rsidRDefault="005D686B" w:rsidP="005D686B">
      <w:pPr>
        <w:pStyle w:val="SingleTxtG"/>
        <w:numPr>
          <w:ilvl w:val="0"/>
          <w:numId w:val="24"/>
        </w:numPr>
        <w:tabs>
          <w:tab w:val="clear" w:pos="1701"/>
          <w:tab w:val="clear" w:pos="2268"/>
          <w:tab w:val="clear" w:pos="2835"/>
        </w:tabs>
        <w:ind w:left="1134" w:firstLine="0"/>
      </w:pPr>
      <w:r>
        <w:t>While noting the efforts undertaken by the State party to ensure its population’s access to water and sanitation, in particular through its desalination plants, the Committee notes with concern that the State party is reportedly at a very high risk of suffering</w:t>
      </w:r>
      <w:r w:rsidRPr="00B32DEA">
        <w:t xml:space="preserve"> from a water crisis in the next </w:t>
      </w:r>
      <w:r>
        <w:t xml:space="preserve">decades. It is also concerned about the impact of </w:t>
      </w:r>
      <w:r w:rsidRPr="00EF4D34">
        <w:t>over-extraction, seawater invasion, oil spills and other industrial discharges</w:t>
      </w:r>
      <w:r>
        <w:t xml:space="preserve"> on the </w:t>
      </w:r>
      <w:r w:rsidRPr="00EF4D34">
        <w:t xml:space="preserve">quantity and quality </w:t>
      </w:r>
      <w:r>
        <w:t>of the State party’s</w:t>
      </w:r>
      <w:r w:rsidRPr="00EF4D34">
        <w:t xml:space="preserve"> groundwater </w:t>
      </w:r>
      <w:r>
        <w:t>sources, as well as unequal access within the country to</w:t>
      </w:r>
      <w:r w:rsidRPr="00EF4D34">
        <w:t xml:space="preserve"> improved water sources and adequate sanitation facilities</w:t>
      </w:r>
      <w:r>
        <w:rPr>
          <w:b/>
        </w:rPr>
        <w:t xml:space="preserve"> </w:t>
      </w:r>
      <w:r>
        <w:t>(art. 11).</w:t>
      </w:r>
    </w:p>
    <w:p w14:paraId="4B3590AC"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A8021B">
        <w:rPr>
          <w:b/>
        </w:rPr>
        <w:t>The Committee recommends that the State party intensify its efforts for the implementation of its national water strategy (2030) with a view to guaranteeing everyone’s access to safe drinking water and sanitation without discrimination. It further recommends that the State party take effective measures to provide long-term</w:t>
      </w:r>
      <w:r>
        <w:rPr>
          <w:b/>
        </w:rPr>
        <w:t>,</w:t>
      </w:r>
      <w:r w:rsidRPr="00A8021B">
        <w:rPr>
          <w:b/>
        </w:rPr>
        <w:t xml:space="preserve"> </w:t>
      </w:r>
      <w:r>
        <w:rPr>
          <w:b/>
        </w:rPr>
        <w:t xml:space="preserve">sustainable </w:t>
      </w:r>
      <w:r w:rsidRPr="00A8021B">
        <w:rPr>
          <w:b/>
        </w:rPr>
        <w:t xml:space="preserve">solutions vis-à-vis </w:t>
      </w:r>
      <w:r>
        <w:rPr>
          <w:b/>
        </w:rPr>
        <w:t xml:space="preserve">the </w:t>
      </w:r>
      <w:r w:rsidRPr="00A8021B">
        <w:rPr>
          <w:b/>
        </w:rPr>
        <w:t>risks</w:t>
      </w:r>
      <w:r>
        <w:rPr>
          <w:b/>
        </w:rPr>
        <w:t xml:space="preserve"> and challenges</w:t>
      </w:r>
      <w:r w:rsidRPr="00A8021B">
        <w:rPr>
          <w:b/>
        </w:rPr>
        <w:t xml:space="preserve"> to the</w:t>
      </w:r>
      <w:r>
        <w:rPr>
          <w:b/>
        </w:rPr>
        <w:t xml:space="preserve"> quality and quantity </w:t>
      </w:r>
      <w:r w:rsidRPr="00A8021B">
        <w:rPr>
          <w:b/>
        </w:rPr>
        <w:t>of its water sources. The Committee draws the attention of the State party to its general comment No. 15 (2002) on the right to water.</w:t>
      </w:r>
    </w:p>
    <w:p w14:paraId="60FBE17C" w14:textId="77777777" w:rsidR="005D686B" w:rsidRPr="00774544" w:rsidRDefault="005D686B" w:rsidP="005D686B">
      <w:pPr>
        <w:pStyle w:val="H23G"/>
        <w:tabs>
          <w:tab w:val="clear" w:pos="851"/>
        </w:tabs>
        <w:ind w:firstLine="0"/>
        <w:rPr>
          <w:rFonts w:eastAsia="Malgun Gothic"/>
        </w:rPr>
      </w:pPr>
      <w:r w:rsidRPr="00774544">
        <w:rPr>
          <w:rFonts w:eastAsia="Malgun Gothic"/>
        </w:rPr>
        <w:t>Poverty</w:t>
      </w:r>
    </w:p>
    <w:p w14:paraId="3A064B6E" w14:textId="77777777" w:rsidR="005D686B" w:rsidRPr="00774544" w:rsidRDefault="005D686B" w:rsidP="005D686B">
      <w:pPr>
        <w:pStyle w:val="SingleTxtG"/>
        <w:numPr>
          <w:ilvl w:val="0"/>
          <w:numId w:val="24"/>
        </w:numPr>
        <w:tabs>
          <w:tab w:val="clear" w:pos="1701"/>
          <w:tab w:val="clear" w:pos="2268"/>
          <w:tab w:val="clear" w:pos="2835"/>
        </w:tabs>
        <w:ind w:left="1134" w:firstLine="0"/>
      </w:pPr>
      <w:r w:rsidRPr="00774544">
        <w:t>The Committee notes with concern the</w:t>
      </w:r>
      <w:r>
        <w:t xml:space="preserve"> lack of information about the</w:t>
      </w:r>
      <w:r w:rsidRPr="00774544">
        <w:t xml:space="preserve"> number of persons living in poverty in the State party. The Committee is also concerned that the most disadvantaged and marginalized households may not be able to comply with the administrative procedures required t</w:t>
      </w:r>
      <w:r>
        <w:t xml:space="preserve">o qualify for the social security </w:t>
      </w:r>
      <w:r w:rsidRPr="00774544">
        <w:t>programme</w:t>
      </w:r>
      <w:r>
        <w:t>s</w:t>
      </w:r>
      <w:r w:rsidRPr="00774544">
        <w:t xml:space="preserve">, which seeks to alleviate poverty (art. </w:t>
      </w:r>
      <w:r>
        <w:t xml:space="preserve">9, </w:t>
      </w:r>
      <w:r w:rsidRPr="00774544">
        <w:t xml:space="preserve">11). </w:t>
      </w:r>
    </w:p>
    <w:p w14:paraId="1E889EB1" w14:textId="77777777" w:rsidR="005D686B" w:rsidRPr="00F15BD6" w:rsidRDefault="005D686B" w:rsidP="005D686B">
      <w:pPr>
        <w:pStyle w:val="SingleTxtG"/>
        <w:numPr>
          <w:ilvl w:val="0"/>
          <w:numId w:val="24"/>
        </w:numPr>
        <w:tabs>
          <w:tab w:val="clear" w:pos="1701"/>
          <w:tab w:val="clear" w:pos="2268"/>
          <w:tab w:val="clear" w:pos="2835"/>
        </w:tabs>
        <w:ind w:left="1134" w:firstLine="0"/>
        <w:rPr>
          <w:b/>
          <w:bCs/>
        </w:rPr>
      </w:pPr>
      <w:r w:rsidRPr="00496047">
        <w:rPr>
          <w:b/>
          <w:bCs/>
        </w:rPr>
        <w:lastRenderedPageBreak/>
        <w:t xml:space="preserve">The Committee recommends that the State party adopt a rights-based approach to its poverty </w:t>
      </w:r>
      <w:r>
        <w:rPr>
          <w:b/>
          <w:bCs/>
        </w:rPr>
        <w:t xml:space="preserve">reduction </w:t>
      </w:r>
      <w:r w:rsidRPr="00496047">
        <w:rPr>
          <w:b/>
          <w:bCs/>
        </w:rPr>
        <w:t>programme</w:t>
      </w:r>
      <w:r>
        <w:rPr>
          <w:b/>
          <w:bCs/>
        </w:rPr>
        <w:t>s specifically focused on those most affected</w:t>
      </w:r>
      <w:r w:rsidRPr="00496047">
        <w:rPr>
          <w:b/>
          <w:bCs/>
        </w:rPr>
        <w:t xml:space="preserve">. Moreover, it recommends that the State party ensure that procedural difficulties </w:t>
      </w:r>
      <w:r>
        <w:rPr>
          <w:b/>
          <w:bCs/>
        </w:rPr>
        <w:t xml:space="preserve">do not </w:t>
      </w:r>
      <w:r w:rsidRPr="00496047">
        <w:rPr>
          <w:b/>
          <w:bCs/>
        </w:rPr>
        <w:t>to lead to the withdrawal, reduction, or suspension of benefits</w:t>
      </w:r>
      <w:r>
        <w:rPr>
          <w:b/>
          <w:bCs/>
        </w:rPr>
        <w:t xml:space="preserve"> to enhance the efficacy of the measures</w:t>
      </w:r>
      <w:r w:rsidRPr="00496047">
        <w:rPr>
          <w:b/>
          <w:bCs/>
        </w:rPr>
        <w:t>. The Committee draws the attention of the State party to its statement on poverty (2001).</w:t>
      </w:r>
    </w:p>
    <w:p w14:paraId="7A3CBD12" w14:textId="77777777" w:rsidR="005D686B" w:rsidRPr="001F00F6" w:rsidRDefault="005D686B" w:rsidP="005D686B">
      <w:pPr>
        <w:pStyle w:val="H23G"/>
        <w:tabs>
          <w:tab w:val="clear" w:pos="851"/>
        </w:tabs>
        <w:ind w:firstLine="0"/>
        <w:rPr>
          <w:b w:val="0"/>
          <w:sz w:val="22"/>
        </w:rPr>
      </w:pPr>
      <w:r w:rsidRPr="00066AE6">
        <w:t>Right to adequate housing</w:t>
      </w:r>
    </w:p>
    <w:p w14:paraId="072E5467" w14:textId="4CEE0E97" w:rsidR="005D686B" w:rsidRDefault="005D686B" w:rsidP="005D686B">
      <w:pPr>
        <w:pStyle w:val="SingleTxtG"/>
        <w:numPr>
          <w:ilvl w:val="0"/>
          <w:numId w:val="24"/>
        </w:numPr>
        <w:tabs>
          <w:tab w:val="clear" w:pos="1701"/>
          <w:tab w:val="clear" w:pos="2268"/>
          <w:tab w:val="clear" w:pos="2835"/>
        </w:tabs>
        <w:ind w:left="1134" w:firstLine="0"/>
      </w:pPr>
      <w:r>
        <w:t>The Committee notes the efforts of the Ministry of Housing to provide social housing in order to address homelessness. However, it is concerned about the relatively high</w:t>
      </w:r>
      <w:r w:rsidRPr="00243BB2">
        <w:t xml:space="preserve"> number of people, particularly from disadvantaged and </w:t>
      </w:r>
      <w:r>
        <w:t>marginalized</w:t>
      </w:r>
      <w:r w:rsidRPr="00243BB2">
        <w:t xml:space="preserve"> groups</w:t>
      </w:r>
      <w:r>
        <w:t xml:space="preserve">, </w:t>
      </w:r>
      <w:r w:rsidRPr="00243BB2">
        <w:t>living in in</w:t>
      </w:r>
      <w:r>
        <w:t>adequate or substandard housing. It also regrets the lack of information with regard to t</w:t>
      </w:r>
      <w:r w:rsidRPr="00A1384D">
        <w:t>he substantive and procedural safeguards provided in domestic law in case of evictions</w:t>
      </w:r>
      <w:r>
        <w:t xml:space="preserve">, including under </w:t>
      </w:r>
      <w:r w:rsidRPr="00A1384D">
        <w:t>the Rental Law No. 27 of 2014</w:t>
      </w:r>
      <w:r>
        <w:t>. The Committee is also concerning at the conditions in which persons in detention are held, including reports of overcrowding</w:t>
      </w:r>
      <w:r w:rsidRPr="002B1A43">
        <w:t xml:space="preserve"> </w:t>
      </w:r>
      <w:r>
        <w:t>(</w:t>
      </w:r>
      <w:r w:rsidRPr="002F3D6F">
        <w:t>art. 11)</w:t>
      </w:r>
      <w:r>
        <w:t xml:space="preserve">. </w:t>
      </w:r>
    </w:p>
    <w:p w14:paraId="1768A672"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277812">
        <w:rPr>
          <w:b/>
        </w:rPr>
        <w:t>The</w:t>
      </w:r>
      <w:r w:rsidRPr="00F83CE4">
        <w:t xml:space="preserve"> C</w:t>
      </w:r>
      <w:r w:rsidRPr="00277812">
        <w:rPr>
          <w:b/>
        </w:rPr>
        <w:t>ommittee recommends that the State party</w:t>
      </w:r>
      <w:r>
        <w:rPr>
          <w:b/>
        </w:rPr>
        <w:t>:</w:t>
      </w:r>
    </w:p>
    <w:p w14:paraId="24C631A4" w14:textId="613563B5" w:rsidR="005D686B" w:rsidRPr="00EE158D" w:rsidRDefault="005D686B" w:rsidP="005D686B">
      <w:pPr>
        <w:pStyle w:val="SingleTxtG"/>
        <w:numPr>
          <w:ilvl w:val="0"/>
          <w:numId w:val="33"/>
        </w:numPr>
        <w:ind w:left="1134" w:firstLine="567"/>
        <w:rPr>
          <w:b/>
        </w:rPr>
      </w:pPr>
      <w:r w:rsidRPr="00EE158D">
        <w:rPr>
          <w:b/>
        </w:rPr>
        <w:t>Strengthen its efforts to ensure access to adequate housing for all, including by facilitating disadvantaged and marginalized individuals and groups’ access to social housing</w:t>
      </w:r>
      <w:r w:rsidR="006E3B8B">
        <w:rPr>
          <w:b/>
        </w:rPr>
        <w:t>;</w:t>
      </w:r>
      <w:r w:rsidRPr="00EE158D">
        <w:rPr>
          <w:b/>
        </w:rPr>
        <w:t xml:space="preserve"> </w:t>
      </w:r>
    </w:p>
    <w:p w14:paraId="626B2C54" w14:textId="583EEF3E" w:rsidR="005D686B" w:rsidRPr="00EE158D" w:rsidRDefault="005D686B" w:rsidP="005D686B">
      <w:pPr>
        <w:pStyle w:val="SingleTxtG"/>
        <w:numPr>
          <w:ilvl w:val="0"/>
          <w:numId w:val="33"/>
        </w:numPr>
        <w:ind w:left="1134" w:firstLine="567"/>
        <w:rPr>
          <w:b/>
        </w:rPr>
      </w:pPr>
      <w:r w:rsidRPr="00EE158D">
        <w:rPr>
          <w:b/>
        </w:rPr>
        <w:t>Address the overcrowding in detention and provide in its next periodic report information on the substantive and procedural safeguards provided in domestic law in case of evictions, including legal provisions for protection against forced evictions and the provision of compensation or the option of adequate alternative housing for persons who have been forcibly evicted</w:t>
      </w:r>
      <w:r w:rsidR="006E3B8B">
        <w:rPr>
          <w:b/>
        </w:rPr>
        <w:t xml:space="preserve">; </w:t>
      </w:r>
    </w:p>
    <w:p w14:paraId="449084DB" w14:textId="77777777" w:rsidR="005D686B" w:rsidRPr="00EE158D" w:rsidRDefault="005D686B" w:rsidP="005D686B">
      <w:pPr>
        <w:pStyle w:val="SingleTxtG"/>
        <w:numPr>
          <w:ilvl w:val="0"/>
          <w:numId w:val="33"/>
        </w:numPr>
        <w:ind w:left="1134" w:firstLine="567"/>
        <w:rPr>
          <w:b/>
        </w:rPr>
      </w:pPr>
      <w:r w:rsidRPr="00EE158D">
        <w:rPr>
          <w:b/>
        </w:rPr>
        <w:t>The Committee draws the attention of the State party to its general comments No. 4 (1991) on the right to adequate housing and No. 7 (1997) on forced evictions.</w:t>
      </w:r>
    </w:p>
    <w:p w14:paraId="7745A670" w14:textId="77777777" w:rsidR="005D686B" w:rsidRPr="00B159EB" w:rsidRDefault="005D686B" w:rsidP="005D686B">
      <w:pPr>
        <w:pStyle w:val="H23G"/>
        <w:tabs>
          <w:tab w:val="clear" w:pos="851"/>
        </w:tabs>
        <w:ind w:firstLine="0"/>
        <w:rPr>
          <w:b w:val="0"/>
        </w:rPr>
      </w:pPr>
      <w:r>
        <w:t>Access to healthcare and services</w:t>
      </w:r>
    </w:p>
    <w:p w14:paraId="460F1192" w14:textId="77777777" w:rsidR="005D686B" w:rsidRDefault="005D686B" w:rsidP="005D686B">
      <w:pPr>
        <w:pStyle w:val="SingleTxtG"/>
        <w:numPr>
          <w:ilvl w:val="0"/>
          <w:numId w:val="24"/>
        </w:numPr>
        <w:tabs>
          <w:tab w:val="clear" w:pos="1701"/>
          <w:tab w:val="clear" w:pos="2268"/>
          <w:tab w:val="clear" w:pos="2835"/>
        </w:tabs>
        <w:ind w:left="1134" w:firstLine="0"/>
      </w:pPr>
      <w:r>
        <w:t>While noting the information provided by the State party in relation to the implementation of its health improvement s</w:t>
      </w:r>
      <w:r w:rsidRPr="00BA57E5">
        <w:t xml:space="preserve">trategy </w:t>
      </w:r>
      <w:r>
        <w:t>(</w:t>
      </w:r>
      <w:r w:rsidRPr="00BA57E5">
        <w:t>2015–2018</w:t>
      </w:r>
      <w:r>
        <w:t>), t</w:t>
      </w:r>
      <w:r w:rsidRPr="002F0BBD">
        <w:t xml:space="preserve">he Committee is </w:t>
      </w:r>
      <w:r>
        <w:t xml:space="preserve">nevertheless </w:t>
      </w:r>
      <w:r w:rsidRPr="002F0BBD">
        <w:t xml:space="preserve">concerned </w:t>
      </w:r>
      <w:r>
        <w:t>about:</w:t>
      </w:r>
    </w:p>
    <w:p w14:paraId="4B21E3AF" w14:textId="77777777" w:rsidR="005D686B" w:rsidRPr="003539F7" w:rsidRDefault="005D686B" w:rsidP="005D686B">
      <w:pPr>
        <w:pStyle w:val="SingleTxtG"/>
        <w:numPr>
          <w:ilvl w:val="0"/>
          <w:numId w:val="34"/>
        </w:numPr>
        <w:ind w:left="1134" w:firstLine="567"/>
        <w:rPr>
          <w:bCs/>
        </w:rPr>
      </w:pPr>
      <w:r w:rsidRPr="003539F7">
        <w:rPr>
          <w:bCs/>
        </w:rPr>
        <w:t>The reported shortcomings with regard to the capacity of its hospitals and other healthcare facilities, and limited availability of medical infrastructure and equipment, as well as of qualified doctors and other healthcare professionals, including as a result of arrests and dismissal of a large number of healthcare professionals following demonstrations that occurred in 2011;</w:t>
      </w:r>
    </w:p>
    <w:p w14:paraId="6E287BA6" w14:textId="77777777" w:rsidR="005D686B" w:rsidRPr="003539F7" w:rsidRDefault="005D686B" w:rsidP="005D686B">
      <w:pPr>
        <w:pStyle w:val="SingleTxtG"/>
        <w:numPr>
          <w:ilvl w:val="0"/>
          <w:numId w:val="34"/>
        </w:numPr>
        <w:ind w:left="1134" w:firstLine="567"/>
        <w:rPr>
          <w:bCs/>
        </w:rPr>
      </w:pPr>
      <w:r w:rsidRPr="003539F7">
        <w:rPr>
          <w:bCs/>
        </w:rPr>
        <w:t>Limited access to healthcare and services, including access to COVID-19 testing, treatment and immunization, by disadvantaged and marginalized individuals and groups, in particular persons deprived of their liberty, stateless persons and migrant workers (art. 12).</w:t>
      </w:r>
      <w:r w:rsidRPr="003539F7">
        <w:rPr>
          <w:rStyle w:val="FootnoteReference"/>
          <w:bCs/>
          <w:sz w:val="20"/>
          <w:vertAlign w:val="baseline"/>
        </w:rPr>
        <w:t xml:space="preserve"> </w:t>
      </w:r>
    </w:p>
    <w:p w14:paraId="221C8FA9"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CF6B36">
        <w:rPr>
          <w:b/>
        </w:rPr>
        <w:t>The</w:t>
      </w:r>
      <w:r w:rsidRPr="00F83CE4">
        <w:t xml:space="preserve"> </w:t>
      </w:r>
      <w:r w:rsidRPr="00CF6B36">
        <w:rPr>
          <w:b/>
        </w:rPr>
        <w:t>Committee recommends that the State party</w:t>
      </w:r>
      <w:r>
        <w:rPr>
          <w:b/>
        </w:rPr>
        <w:t>:</w:t>
      </w:r>
    </w:p>
    <w:p w14:paraId="3CBFFFB7" w14:textId="77777777" w:rsidR="005D686B" w:rsidRPr="00EE158D" w:rsidRDefault="005D686B" w:rsidP="005D686B">
      <w:pPr>
        <w:pStyle w:val="SingleTxtG"/>
        <w:numPr>
          <w:ilvl w:val="0"/>
          <w:numId w:val="35"/>
        </w:numPr>
        <w:ind w:left="1134" w:firstLine="567"/>
        <w:rPr>
          <w:b/>
        </w:rPr>
      </w:pPr>
      <w:r w:rsidRPr="00EE158D">
        <w:rPr>
          <w:b/>
        </w:rPr>
        <w:t>Increase the allocation of human, technical and financial resources to the health sector in order to ensure the accessibility, availability, affordability and quality of healthcare and services for everyone without discrimination, including by improving the infrastructure of the healthcare system and ensuring that hospitals are adequately staffed with suitable medical personnel and that they have sufficient and appropriate infrastructure and equipment;</w:t>
      </w:r>
    </w:p>
    <w:p w14:paraId="2CC1E799" w14:textId="77777777" w:rsidR="005D686B" w:rsidRPr="00EE158D" w:rsidRDefault="005D686B" w:rsidP="005D686B">
      <w:pPr>
        <w:pStyle w:val="SingleTxtG"/>
        <w:numPr>
          <w:ilvl w:val="0"/>
          <w:numId w:val="35"/>
        </w:numPr>
        <w:ind w:left="1134" w:firstLine="567"/>
        <w:rPr>
          <w:b/>
        </w:rPr>
      </w:pPr>
      <w:r w:rsidRPr="00EE158D">
        <w:rPr>
          <w:b/>
        </w:rPr>
        <w:t>Take effective measures to identify and address different barriers faced by disadvantaged and marginalized individuals and groups in accessing healthcare and services, including, person with disabilities, persons deprived of their liberty, stateless persons and migrant workers;</w:t>
      </w:r>
    </w:p>
    <w:p w14:paraId="25DEA370" w14:textId="5A632058" w:rsidR="005D686B" w:rsidRPr="00EE158D" w:rsidRDefault="00011815" w:rsidP="005D686B">
      <w:pPr>
        <w:pStyle w:val="SingleTxtG"/>
        <w:numPr>
          <w:ilvl w:val="0"/>
          <w:numId w:val="35"/>
        </w:numPr>
        <w:ind w:left="1134" w:firstLine="567"/>
        <w:rPr>
          <w:b/>
        </w:rPr>
      </w:pPr>
      <w:r w:rsidRPr="009477C2">
        <w:rPr>
          <w:b/>
        </w:rPr>
        <w:lastRenderedPageBreak/>
        <w:t>Apply</w:t>
      </w:r>
      <w:r w:rsidR="00BB01B8" w:rsidRPr="009477C2">
        <w:rPr>
          <w:b/>
        </w:rPr>
        <w:t xml:space="preserve"> the provisions of </w:t>
      </w:r>
      <w:r w:rsidR="005D686B" w:rsidRPr="009477C2">
        <w:rPr>
          <w:b/>
        </w:rPr>
        <w:t>the Committee’s general comment No. 14 (2000) on the right to the highest attainable standard</w:t>
      </w:r>
      <w:r w:rsidR="005D686B" w:rsidRPr="00EE158D">
        <w:rPr>
          <w:b/>
        </w:rPr>
        <w:t xml:space="preserve"> of health, and its two statements on the COVID-19 pandemic and economic, social and cultural rights (E/C.12/2020/1), and on universal and equitable access to vaccines for COVID-19 (E/C.12/2020/2).</w:t>
      </w:r>
    </w:p>
    <w:p w14:paraId="6930C4C5" w14:textId="77777777" w:rsidR="005D686B" w:rsidRDefault="005D686B" w:rsidP="005D686B">
      <w:pPr>
        <w:pStyle w:val="H23G"/>
        <w:tabs>
          <w:tab w:val="clear" w:pos="851"/>
        </w:tabs>
        <w:ind w:firstLine="0"/>
      </w:pPr>
      <w:r>
        <w:t>Mental health</w:t>
      </w:r>
    </w:p>
    <w:p w14:paraId="0EF9A58B" w14:textId="77777777" w:rsidR="005D686B" w:rsidRDefault="005D686B" w:rsidP="005D686B">
      <w:pPr>
        <w:pStyle w:val="SingleTxtG"/>
        <w:numPr>
          <w:ilvl w:val="0"/>
          <w:numId w:val="24"/>
        </w:numPr>
        <w:tabs>
          <w:tab w:val="clear" w:pos="1701"/>
          <w:tab w:val="clear" w:pos="2268"/>
          <w:tab w:val="clear" w:pos="2835"/>
        </w:tabs>
        <w:ind w:left="1134" w:firstLine="0"/>
      </w:pPr>
      <w:r>
        <w:t xml:space="preserve">The Committee regrets the lack of information with regard to the State party’s implementation of its </w:t>
      </w:r>
      <w:r w:rsidRPr="00CE53FE">
        <w:rPr>
          <w:b/>
        </w:rPr>
        <w:t>mental</w:t>
      </w:r>
      <w:r>
        <w:t xml:space="preserve"> health laws and policies, as well as information about </w:t>
      </w:r>
      <w:r w:rsidRPr="00E72F1F">
        <w:t>the accessibility, availability, affordability</w:t>
      </w:r>
      <w:r>
        <w:t xml:space="preserve"> and quality of its mental h</w:t>
      </w:r>
      <w:r w:rsidRPr="00E72F1F">
        <w:t>ealt</w:t>
      </w:r>
      <w:r>
        <w:t xml:space="preserve">h </w:t>
      </w:r>
      <w:r w:rsidRPr="00E72F1F">
        <w:t>care</w:t>
      </w:r>
      <w:r>
        <w:t xml:space="preserve"> and services (art. 12).</w:t>
      </w:r>
    </w:p>
    <w:p w14:paraId="1A506F29" w14:textId="77777777" w:rsidR="005D686B" w:rsidRPr="00F74DC6" w:rsidRDefault="005D686B" w:rsidP="005D686B">
      <w:pPr>
        <w:pStyle w:val="SingleTxtG"/>
        <w:numPr>
          <w:ilvl w:val="0"/>
          <w:numId w:val="24"/>
        </w:numPr>
        <w:tabs>
          <w:tab w:val="clear" w:pos="1701"/>
          <w:tab w:val="clear" w:pos="2268"/>
          <w:tab w:val="clear" w:pos="2835"/>
        </w:tabs>
        <w:ind w:left="1134" w:firstLine="0"/>
        <w:rPr>
          <w:b/>
        </w:rPr>
      </w:pPr>
      <w:r w:rsidRPr="00F74DC6">
        <w:rPr>
          <w:b/>
        </w:rPr>
        <w:t>The Committee requests that the State party provide in its next periodic report information about the implementation of its mental health laws and policies in compliance with international human rights norms and standards. It also recommends that the State party take measures to ensure the availability, accessibility, affordability and quality of professional mental health</w:t>
      </w:r>
      <w:r>
        <w:rPr>
          <w:b/>
        </w:rPr>
        <w:t xml:space="preserve"> </w:t>
      </w:r>
      <w:r w:rsidRPr="00F74DC6">
        <w:rPr>
          <w:b/>
        </w:rPr>
        <w:t>care</w:t>
      </w:r>
      <w:r>
        <w:rPr>
          <w:b/>
        </w:rPr>
        <w:t xml:space="preserve"> and</w:t>
      </w:r>
      <w:r w:rsidRPr="00F74DC6">
        <w:rPr>
          <w:b/>
        </w:rPr>
        <w:t xml:space="preserve"> services, including community-based services, and inform the Committee on the implementation of these measures in its next periodic report.</w:t>
      </w:r>
    </w:p>
    <w:p w14:paraId="1AC52B13" w14:textId="77777777" w:rsidR="005D686B" w:rsidRPr="00B159EB" w:rsidRDefault="005D686B" w:rsidP="005D686B">
      <w:pPr>
        <w:pStyle w:val="H23G"/>
        <w:tabs>
          <w:tab w:val="clear" w:pos="851"/>
        </w:tabs>
        <w:ind w:firstLine="0"/>
      </w:pPr>
      <w:r w:rsidRPr="00B159EB">
        <w:t>Sexual and reproductive health</w:t>
      </w:r>
    </w:p>
    <w:p w14:paraId="6C09CDB2" w14:textId="4BC5F8C2" w:rsidR="00011815" w:rsidRDefault="005D686B" w:rsidP="00B74FB9">
      <w:pPr>
        <w:pStyle w:val="SingleTxtG"/>
        <w:numPr>
          <w:ilvl w:val="0"/>
          <w:numId w:val="24"/>
        </w:numPr>
        <w:tabs>
          <w:tab w:val="clear" w:pos="1701"/>
          <w:tab w:val="clear" w:pos="2268"/>
          <w:tab w:val="clear" w:pos="2835"/>
        </w:tabs>
        <w:ind w:left="1134" w:firstLine="0"/>
      </w:pPr>
      <w:r>
        <w:t>The C</w:t>
      </w:r>
      <w:r w:rsidRPr="00F05A2C">
        <w:t xml:space="preserve">ommittee </w:t>
      </w:r>
      <w:r>
        <w:t xml:space="preserve">is concerned about the </w:t>
      </w:r>
      <w:r w:rsidRPr="00545092">
        <w:t>criminalization of abortion, even in cases where pregnancy is the result of</w:t>
      </w:r>
      <w:r>
        <w:t xml:space="preserve"> incest or</w:t>
      </w:r>
      <w:r w:rsidRPr="00545092">
        <w:t xml:space="preserve"> ra</w:t>
      </w:r>
      <w:r>
        <w:t>pe. It is also concerned about</w:t>
      </w:r>
      <w:r w:rsidRPr="00F05A2C">
        <w:t xml:space="preserve"> the </w:t>
      </w:r>
      <w:r>
        <w:t xml:space="preserve">reported </w:t>
      </w:r>
      <w:r w:rsidRPr="00F05A2C">
        <w:t>difficulties faced by women in accessing</w:t>
      </w:r>
      <w:r>
        <w:t xml:space="preserve"> sexual and reproductive health care </w:t>
      </w:r>
      <w:r w:rsidRPr="00F05A2C">
        <w:t xml:space="preserve">and services, including </w:t>
      </w:r>
      <w:r>
        <w:t>contraceptives</w:t>
      </w:r>
      <w:r w:rsidR="009477C2">
        <w:t>.</w:t>
      </w:r>
      <w:r w:rsidRPr="002B1A43">
        <w:t xml:space="preserve"> </w:t>
      </w:r>
      <w:r w:rsidR="00011815">
        <w:t xml:space="preserve">The Committee also </w:t>
      </w:r>
      <w:r w:rsidR="009477C2">
        <w:t xml:space="preserve">regrets </w:t>
      </w:r>
      <w:r w:rsidR="00011815">
        <w:t>the lack of information on sexual</w:t>
      </w:r>
      <w:r w:rsidR="00856407">
        <w:t xml:space="preserve"> an</w:t>
      </w:r>
      <w:r w:rsidR="00673D80">
        <w:t>d reproductive health education for women</w:t>
      </w:r>
      <w:r w:rsidR="009477C2" w:rsidRPr="009477C2">
        <w:t xml:space="preserve"> </w:t>
      </w:r>
      <w:r w:rsidR="009477C2">
        <w:t>(art. 12).</w:t>
      </w:r>
    </w:p>
    <w:p w14:paraId="10B7AE77" w14:textId="77777777" w:rsidR="00856407" w:rsidRDefault="005D686B" w:rsidP="003539F7">
      <w:pPr>
        <w:pStyle w:val="SingleTxtG"/>
        <w:numPr>
          <w:ilvl w:val="0"/>
          <w:numId w:val="24"/>
        </w:numPr>
        <w:ind w:left="1530"/>
        <w:rPr>
          <w:b/>
        </w:rPr>
      </w:pPr>
      <w:r w:rsidRPr="00545092">
        <w:rPr>
          <w:b/>
        </w:rPr>
        <w:t>The Committee recommends that the State party</w:t>
      </w:r>
      <w:r w:rsidR="00856407">
        <w:rPr>
          <w:b/>
        </w:rPr>
        <w:t xml:space="preserve">: </w:t>
      </w:r>
    </w:p>
    <w:p w14:paraId="2FD58B5B" w14:textId="4FE15A08" w:rsidR="00856407" w:rsidRDefault="00856407" w:rsidP="00A3036E">
      <w:pPr>
        <w:pStyle w:val="SingleTxtG"/>
        <w:tabs>
          <w:tab w:val="clear" w:pos="1701"/>
          <w:tab w:val="left" w:pos="1560"/>
        </w:tabs>
        <w:ind w:firstLine="567"/>
        <w:rPr>
          <w:b/>
        </w:rPr>
      </w:pPr>
      <w:r>
        <w:rPr>
          <w:b/>
        </w:rPr>
        <w:t>(a)</w:t>
      </w:r>
      <w:r w:rsidR="00A3036E">
        <w:rPr>
          <w:b/>
        </w:rPr>
        <w:tab/>
      </w:r>
      <w:r w:rsidR="00673D80">
        <w:rPr>
          <w:b/>
        </w:rPr>
        <w:t>Modify</w:t>
      </w:r>
      <w:r w:rsidR="005D686B" w:rsidRPr="00545092">
        <w:rPr>
          <w:b/>
        </w:rPr>
        <w:t xml:space="preserve"> its laws on the termination of pregnancy with a view to making them consistent with women’s integrity and autonomy, in particular by decriminalizing abortion in cases of rape and incest and by expanding the set of circumstances under which abortion is legal</w:t>
      </w:r>
      <w:r w:rsidR="009477C2">
        <w:rPr>
          <w:b/>
        </w:rPr>
        <w:t xml:space="preserve">; </w:t>
      </w:r>
    </w:p>
    <w:p w14:paraId="52C746C9" w14:textId="78331748" w:rsidR="00856407" w:rsidRDefault="00856407" w:rsidP="00A3036E">
      <w:pPr>
        <w:pStyle w:val="SingleTxtG"/>
        <w:tabs>
          <w:tab w:val="clear" w:pos="1701"/>
          <w:tab w:val="clear" w:pos="2835"/>
          <w:tab w:val="left" w:pos="1560"/>
        </w:tabs>
        <w:ind w:firstLine="567"/>
        <w:rPr>
          <w:b/>
          <w:bCs/>
          <w:lang w:val="en-US"/>
        </w:rPr>
      </w:pPr>
      <w:r>
        <w:rPr>
          <w:b/>
        </w:rPr>
        <w:t>(b)</w:t>
      </w:r>
      <w:r w:rsidR="00A3036E">
        <w:rPr>
          <w:b/>
        </w:rPr>
        <w:tab/>
      </w:r>
      <w:r>
        <w:rPr>
          <w:b/>
        </w:rPr>
        <w:t>E</w:t>
      </w:r>
      <w:r w:rsidR="005D686B" w:rsidRPr="00545092">
        <w:rPr>
          <w:b/>
        </w:rPr>
        <w:t>nsure the availability, accessibility, affordability and quality of sexual and reproductive health care and services, including access to affordable, safe and effective contraceptives and emergency contraceptives</w:t>
      </w:r>
      <w:proofErr w:type="gramStart"/>
      <w:r w:rsidR="009477C2">
        <w:rPr>
          <w:b/>
        </w:rPr>
        <w:t>;</w:t>
      </w:r>
      <w:proofErr w:type="gramEnd"/>
    </w:p>
    <w:p w14:paraId="2BE10C82" w14:textId="0BE0D456" w:rsidR="0086392F" w:rsidRDefault="00A3036E" w:rsidP="00A3036E">
      <w:pPr>
        <w:pStyle w:val="SingleTxtG"/>
        <w:tabs>
          <w:tab w:val="clear" w:pos="1701"/>
          <w:tab w:val="clear" w:pos="2835"/>
          <w:tab w:val="left" w:pos="1560"/>
        </w:tabs>
        <w:ind w:firstLine="567"/>
        <w:rPr>
          <w:b/>
          <w:bCs/>
          <w:lang w:val="en-US"/>
        </w:rPr>
      </w:pPr>
      <w:r>
        <w:rPr>
          <w:b/>
          <w:lang w:val="en-US"/>
        </w:rPr>
        <w:t>(c</w:t>
      </w:r>
      <w:r w:rsidR="00856407">
        <w:rPr>
          <w:b/>
          <w:lang w:val="en-US"/>
        </w:rPr>
        <w:t>)</w:t>
      </w:r>
      <w:r>
        <w:rPr>
          <w:b/>
          <w:bCs/>
          <w:lang w:val="en-US"/>
        </w:rPr>
        <w:tab/>
      </w:r>
      <w:r w:rsidR="00DF7708">
        <w:rPr>
          <w:b/>
          <w:bCs/>
          <w:lang w:val="en-US"/>
        </w:rPr>
        <w:t>Introduce</w:t>
      </w:r>
      <w:r w:rsidR="00856407" w:rsidRPr="0021033B">
        <w:rPr>
          <w:b/>
          <w:bCs/>
          <w:lang w:val="en-US"/>
        </w:rPr>
        <w:t xml:space="preserve"> </w:t>
      </w:r>
      <w:r w:rsidR="00DF7708">
        <w:rPr>
          <w:b/>
          <w:bCs/>
          <w:lang w:val="en-US"/>
        </w:rPr>
        <w:t>age</w:t>
      </w:r>
      <w:r w:rsidR="00CD7A9F">
        <w:rPr>
          <w:b/>
          <w:bCs/>
          <w:lang w:val="en-US"/>
        </w:rPr>
        <w:t>-</w:t>
      </w:r>
      <w:r w:rsidR="00DF7708">
        <w:rPr>
          <w:b/>
          <w:bCs/>
          <w:lang w:val="en-US"/>
        </w:rPr>
        <w:t xml:space="preserve">appropriate </w:t>
      </w:r>
      <w:r w:rsidR="00856407" w:rsidRPr="0021033B">
        <w:rPr>
          <w:b/>
          <w:bCs/>
          <w:lang w:val="en-US"/>
        </w:rPr>
        <w:t>education in</w:t>
      </w:r>
      <w:r w:rsidR="00673D80">
        <w:rPr>
          <w:b/>
          <w:bCs/>
          <w:lang w:val="en-US"/>
        </w:rPr>
        <w:t xml:space="preserve"> sexual and reproductive health</w:t>
      </w:r>
      <w:r w:rsidR="00DF7708">
        <w:rPr>
          <w:b/>
          <w:bCs/>
          <w:lang w:val="en-US"/>
        </w:rPr>
        <w:t xml:space="preserve"> and p</w:t>
      </w:r>
      <w:r w:rsidR="00DF7708" w:rsidRPr="0021033B">
        <w:rPr>
          <w:b/>
          <w:bCs/>
          <w:lang w:val="en-US"/>
        </w:rPr>
        <w:t xml:space="preserve">rovide </w:t>
      </w:r>
      <w:r w:rsidR="00CD7A9F">
        <w:rPr>
          <w:b/>
          <w:bCs/>
          <w:lang w:val="en-US"/>
        </w:rPr>
        <w:t xml:space="preserve">information </w:t>
      </w:r>
      <w:r w:rsidR="00DF7708" w:rsidRPr="0021033B">
        <w:rPr>
          <w:b/>
          <w:bCs/>
          <w:lang w:val="en-US"/>
        </w:rPr>
        <w:t>in its next periodic report</w:t>
      </w:r>
      <w:proofErr w:type="gramStart"/>
      <w:r w:rsidR="009477C2">
        <w:rPr>
          <w:b/>
          <w:bCs/>
          <w:lang w:val="en-US"/>
        </w:rPr>
        <w:t>;</w:t>
      </w:r>
      <w:proofErr w:type="gramEnd"/>
    </w:p>
    <w:p w14:paraId="697015E6" w14:textId="0675A0AF" w:rsidR="005D686B" w:rsidRPr="0086392F" w:rsidRDefault="00D95CC2" w:rsidP="00A3036E">
      <w:pPr>
        <w:pStyle w:val="SingleTxtG"/>
        <w:numPr>
          <w:ilvl w:val="0"/>
          <w:numId w:val="35"/>
        </w:numPr>
        <w:tabs>
          <w:tab w:val="clear" w:pos="1701"/>
          <w:tab w:val="clear" w:pos="2835"/>
          <w:tab w:val="left" w:pos="1560"/>
        </w:tabs>
        <w:ind w:left="1134" w:firstLine="567"/>
        <w:rPr>
          <w:b/>
          <w:bCs/>
          <w:lang w:val="en-US"/>
        </w:rPr>
      </w:pPr>
      <w:r>
        <w:rPr>
          <w:b/>
        </w:rPr>
        <w:t xml:space="preserve">Take into consideration </w:t>
      </w:r>
      <w:r w:rsidR="005D686B" w:rsidRPr="00545092">
        <w:rPr>
          <w:b/>
        </w:rPr>
        <w:t>its general comment No. 22 (2016) on the right to sexual and reproductive health.</w:t>
      </w:r>
    </w:p>
    <w:p w14:paraId="0C050BA6" w14:textId="77777777" w:rsidR="005D686B" w:rsidRPr="00B159EB" w:rsidRDefault="005D686B" w:rsidP="005D686B">
      <w:pPr>
        <w:pStyle w:val="H23G"/>
        <w:tabs>
          <w:tab w:val="clear" w:pos="851"/>
        </w:tabs>
        <w:ind w:firstLine="0"/>
        <w:rPr>
          <w:b w:val="0"/>
        </w:rPr>
      </w:pPr>
      <w:r w:rsidRPr="00066AE6">
        <w:t>Right</w:t>
      </w:r>
      <w:r w:rsidRPr="00B159EB">
        <w:t xml:space="preserve"> to education</w:t>
      </w:r>
    </w:p>
    <w:p w14:paraId="389C92C8" w14:textId="77777777" w:rsidR="005D686B" w:rsidRDefault="005D686B" w:rsidP="005D686B">
      <w:pPr>
        <w:pStyle w:val="SingleTxtG"/>
        <w:numPr>
          <w:ilvl w:val="0"/>
          <w:numId w:val="24"/>
        </w:numPr>
        <w:tabs>
          <w:tab w:val="clear" w:pos="1701"/>
          <w:tab w:val="clear" w:pos="2268"/>
          <w:tab w:val="clear" w:pos="2835"/>
        </w:tabs>
        <w:ind w:left="1134" w:firstLine="0"/>
      </w:pPr>
      <w:proofErr w:type="gramStart"/>
      <w:r>
        <w:t>While noting that the State party provides primary and secondary education in public schools free of charge for its citizens, the Committee remains concerned that the educational laws and regulations of the State party do not provide non-citizen children, including children of migrant workers and stateless children, with access to primary and secondary education that is free of charge (</w:t>
      </w:r>
      <w:r w:rsidRPr="009F1E9D">
        <w:t>E/C.12/BHR/1</w:t>
      </w:r>
      <w:r>
        <w:t>, para. 365).</w:t>
      </w:r>
      <w:proofErr w:type="gramEnd"/>
      <w:r>
        <w:t xml:space="preserve"> It is also concerned about cases of children deprived of their liberty </w:t>
      </w:r>
      <w:proofErr w:type="gramStart"/>
      <w:r>
        <w:t>being denied</w:t>
      </w:r>
      <w:proofErr w:type="gramEnd"/>
      <w:r>
        <w:t xml:space="preserve"> access to education in detention facilities. The Committee further regrets the lack of information with regard to access to inclusive and quality education </w:t>
      </w:r>
      <w:r w:rsidRPr="0005269C">
        <w:t xml:space="preserve">by disadvantaged and marginalized children, including children </w:t>
      </w:r>
      <w:r>
        <w:t>of migrant workers, stateless children and children with disabilities (art. 13).</w:t>
      </w:r>
    </w:p>
    <w:p w14:paraId="69B7D453" w14:textId="77777777" w:rsidR="005D686B" w:rsidRPr="0005269C" w:rsidRDefault="005D686B" w:rsidP="005D686B">
      <w:pPr>
        <w:pStyle w:val="SingleTxtG"/>
        <w:numPr>
          <w:ilvl w:val="0"/>
          <w:numId w:val="24"/>
        </w:numPr>
        <w:tabs>
          <w:tab w:val="clear" w:pos="1701"/>
          <w:tab w:val="clear" w:pos="2268"/>
          <w:tab w:val="clear" w:pos="2835"/>
        </w:tabs>
        <w:ind w:left="1134" w:firstLine="0"/>
        <w:rPr>
          <w:b/>
        </w:rPr>
      </w:pPr>
      <w:r w:rsidRPr="0005269C">
        <w:rPr>
          <w:b/>
        </w:rPr>
        <w:t xml:space="preserve">The Committee recommends that the State party take all measures necessary to guarantee in law and in practice non-discriminatory access to compulsory and free-of-charge primary and secondary education to all </w:t>
      </w:r>
      <w:r w:rsidRPr="00AA3FC6">
        <w:rPr>
          <w:b/>
        </w:rPr>
        <w:t>children, in particular disadvantaged and marginalized children, including but not limited to children of migrant workers, stateless children, children deprived of their liberty and children with disabilities. It also requests that the State party provide in its next periodic report provide disaggregated statistical data with regard to its education system</w:t>
      </w:r>
      <w:r>
        <w:rPr>
          <w:b/>
        </w:rPr>
        <w:t xml:space="preserve">, including </w:t>
      </w:r>
      <w:r w:rsidRPr="0005269C">
        <w:rPr>
          <w:b/>
        </w:rPr>
        <w:t xml:space="preserve">school </w:t>
      </w:r>
      <w:r w:rsidRPr="0005269C">
        <w:rPr>
          <w:b/>
        </w:rPr>
        <w:lastRenderedPageBreak/>
        <w:t xml:space="preserve">enrolment, attendance and completion rates, in order to enable the Committee to better assess access to education </w:t>
      </w:r>
      <w:r>
        <w:rPr>
          <w:b/>
        </w:rPr>
        <w:t xml:space="preserve">in </w:t>
      </w:r>
      <w:r w:rsidRPr="0005269C">
        <w:rPr>
          <w:b/>
        </w:rPr>
        <w:t>the State party</w:t>
      </w:r>
      <w:r>
        <w:rPr>
          <w:b/>
        </w:rPr>
        <w:t>.</w:t>
      </w:r>
    </w:p>
    <w:p w14:paraId="4C5973E8" w14:textId="77777777" w:rsidR="005D686B" w:rsidRPr="00066AE6" w:rsidRDefault="005D686B" w:rsidP="005D686B">
      <w:pPr>
        <w:pStyle w:val="H23G"/>
        <w:tabs>
          <w:tab w:val="clear" w:pos="851"/>
          <w:tab w:val="left" w:pos="4185"/>
        </w:tabs>
        <w:ind w:firstLine="0"/>
      </w:pPr>
      <w:r>
        <w:t>Cultural rights</w:t>
      </w:r>
    </w:p>
    <w:p w14:paraId="1EC05982" w14:textId="1635D4B2" w:rsidR="005D686B" w:rsidRDefault="005D686B" w:rsidP="005D686B">
      <w:pPr>
        <w:pStyle w:val="SingleTxtG"/>
        <w:numPr>
          <w:ilvl w:val="0"/>
          <w:numId w:val="24"/>
        </w:numPr>
        <w:tabs>
          <w:tab w:val="clear" w:pos="1701"/>
          <w:tab w:val="clear" w:pos="2268"/>
          <w:tab w:val="clear" w:pos="2835"/>
        </w:tabs>
        <w:ind w:left="1134" w:firstLine="0"/>
      </w:pPr>
      <w:r>
        <w:t xml:space="preserve">Despite the constitutional prohibition of discrimination based on religious affiliation, members of the Shia community reportedly face discrimination in education, employment and in the exercise of their cultural rights. The Committee is concerned about the reported restrictions on access to a number of religious and cultural sites for the </w:t>
      </w:r>
      <w:r w:rsidR="00A3036E">
        <w:t xml:space="preserve">Shia community, in addition to </w:t>
      </w:r>
      <w:r>
        <w:t xml:space="preserve">reports on demolition of some of their religious sites. It is also concerned about the reports of harassment, </w:t>
      </w:r>
      <w:r w:rsidRPr="004F0503">
        <w:t>intimidation</w:t>
      </w:r>
      <w:r>
        <w:t xml:space="preserve">, </w:t>
      </w:r>
      <w:r w:rsidRPr="00BA4F64">
        <w:t>arrests and detention of</w:t>
      </w:r>
      <w:r>
        <w:t xml:space="preserve"> religious and cultural figures (art. 15).</w:t>
      </w:r>
      <w:r w:rsidRPr="00002C3F">
        <w:rPr>
          <w:rStyle w:val="FootnoteReference"/>
        </w:rPr>
        <w:t xml:space="preserve"> </w:t>
      </w:r>
    </w:p>
    <w:p w14:paraId="54369BFA" w14:textId="77777777" w:rsidR="005D686B" w:rsidRPr="009177D9" w:rsidRDefault="005D686B" w:rsidP="005D686B">
      <w:pPr>
        <w:pStyle w:val="SingleTxtG"/>
        <w:numPr>
          <w:ilvl w:val="0"/>
          <w:numId w:val="24"/>
        </w:numPr>
        <w:tabs>
          <w:tab w:val="clear" w:pos="1701"/>
          <w:tab w:val="clear" w:pos="2268"/>
          <w:tab w:val="clear" w:pos="2835"/>
        </w:tabs>
        <w:ind w:left="1134" w:firstLine="0"/>
      </w:pPr>
      <w:r w:rsidRPr="00A20C1E">
        <w:rPr>
          <w:b/>
        </w:rPr>
        <w:t>The Committee recommends that the State party ensure that everyone can exercise their right to take part in cultural and religious life without discrimination or undue restrictions, in accordance with article 15 of the Covenant, as interpreted in the Committee’s general comment No. 21 (2009) on the right of everyone to take part in cultural life. It also recommends that the State party continue taking the measures necessary, in consultation with the communities affected, for the restoration of damaged religious sites.</w:t>
      </w:r>
    </w:p>
    <w:p w14:paraId="4E0AB829" w14:textId="77777777" w:rsidR="005D686B" w:rsidRPr="00774544" w:rsidRDefault="005D686B" w:rsidP="005D686B">
      <w:pPr>
        <w:pStyle w:val="H23G"/>
        <w:ind w:left="1170" w:firstLine="0"/>
        <w:rPr>
          <w:rFonts w:eastAsia="Malgun Gothic"/>
        </w:rPr>
      </w:pPr>
      <w:r w:rsidRPr="00774544">
        <w:rPr>
          <w:rFonts w:eastAsia="Malgun Gothic"/>
        </w:rPr>
        <w:t xml:space="preserve">Freedom for </w:t>
      </w:r>
      <w:r>
        <w:rPr>
          <w:rFonts w:eastAsia="Malgun Gothic"/>
        </w:rPr>
        <w:t xml:space="preserve">scientific research and </w:t>
      </w:r>
      <w:r w:rsidRPr="00774544">
        <w:rPr>
          <w:rFonts w:eastAsia="Malgun Gothic"/>
        </w:rPr>
        <w:t>creative activity</w:t>
      </w:r>
    </w:p>
    <w:p w14:paraId="0C47DDC8" w14:textId="09D8EC12" w:rsidR="005D686B" w:rsidRPr="00774544" w:rsidRDefault="005D686B" w:rsidP="005D686B">
      <w:pPr>
        <w:pStyle w:val="SingleTxtG"/>
        <w:numPr>
          <w:ilvl w:val="0"/>
          <w:numId w:val="24"/>
        </w:numPr>
        <w:tabs>
          <w:tab w:val="clear" w:pos="1701"/>
          <w:tab w:val="clear" w:pos="2268"/>
          <w:tab w:val="clear" w:pos="2835"/>
        </w:tabs>
        <w:ind w:left="1134" w:firstLine="0"/>
      </w:pPr>
      <w:r w:rsidRPr="00774544">
        <w:t xml:space="preserve">While noting the information provided by </w:t>
      </w:r>
      <w:r>
        <w:t xml:space="preserve">the delegation about freedom of </w:t>
      </w:r>
      <w:r w:rsidRPr="00774544">
        <w:t xml:space="preserve">expression and the support given to creative activities, the Committee is concerned </w:t>
      </w:r>
      <w:r>
        <w:t>about certain restrictions imposed on scientific research and creative</w:t>
      </w:r>
      <w:r w:rsidRPr="00774544">
        <w:t xml:space="preserve"> activities</w:t>
      </w:r>
      <w:r w:rsidR="00E32F8A">
        <w:t xml:space="preserve"> (art. 15)</w:t>
      </w:r>
      <w:r w:rsidR="00F717D5">
        <w:t>.</w:t>
      </w:r>
    </w:p>
    <w:p w14:paraId="3C13EFD0" w14:textId="179093CB" w:rsidR="005D686B" w:rsidRPr="00F15BD6" w:rsidRDefault="005D686B" w:rsidP="005D686B">
      <w:pPr>
        <w:pStyle w:val="SingleTxtG"/>
        <w:numPr>
          <w:ilvl w:val="0"/>
          <w:numId w:val="24"/>
        </w:numPr>
        <w:tabs>
          <w:tab w:val="clear" w:pos="1701"/>
          <w:tab w:val="clear" w:pos="2268"/>
          <w:tab w:val="clear" w:pos="2835"/>
        </w:tabs>
        <w:ind w:left="1134" w:firstLine="0"/>
        <w:rPr>
          <w:b/>
          <w:bCs/>
        </w:rPr>
      </w:pPr>
      <w:r w:rsidRPr="00745422">
        <w:rPr>
          <w:b/>
          <w:bCs/>
        </w:rPr>
        <w:t xml:space="preserve">The Committee recommends that the State party respect the freedom indispensable for creative activity, including by ensuring that </w:t>
      </w:r>
      <w:r>
        <w:rPr>
          <w:b/>
          <w:bCs/>
        </w:rPr>
        <w:t xml:space="preserve">forms of censorship do not </w:t>
      </w:r>
      <w:r w:rsidRPr="00745422">
        <w:rPr>
          <w:b/>
          <w:bCs/>
        </w:rPr>
        <w:t>duly limit it. The Committee draws the attention of the State party to paragraphs 17 to 20 of its general comment No. 21</w:t>
      </w:r>
      <w:r>
        <w:rPr>
          <w:b/>
          <w:bCs/>
        </w:rPr>
        <w:t>, on the Right of everyone to take part in cultural life (E/C.12/GC/21)</w:t>
      </w:r>
      <w:r w:rsidRPr="00745422">
        <w:rPr>
          <w:b/>
          <w:bCs/>
        </w:rPr>
        <w:t>.</w:t>
      </w:r>
    </w:p>
    <w:p w14:paraId="63E3D434" w14:textId="77777777" w:rsidR="005D686B" w:rsidRDefault="005D686B" w:rsidP="005D686B">
      <w:pPr>
        <w:pStyle w:val="H1G"/>
      </w:pPr>
      <w:r>
        <w:tab/>
        <w:t>D.</w:t>
      </w:r>
      <w:r>
        <w:tab/>
        <w:t>Other recommendations</w:t>
      </w:r>
    </w:p>
    <w:p w14:paraId="3650C055"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99571C">
        <w:rPr>
          <w:b/>
        </w:rPr>
        <w:t>The Committee encourages the State party to ratify the Optional Protocol to the International Covenant on Economic, Social and Cultural Rights.</w:t>
      </w:r>
    </w:p>
    <w:p w14:paraId="52EF56DE" w14:textId="2A2D5C59" w:rsidR="005D686B" w:rsidRDefault="005D686B" w:rsidP="005D686B">
      <w:pPr>
        <w:pStyle w:val="SingleTxtG"/>
        <w:numPr>
          <w:ilvl w:val="0"/>
          <w:numId w:val="24"/>
        </w:numPr>
        <w:tabs>
          <w:tab w:val="clear" w:pos="1701"/>
          <w:tab w:val="clear" w:pos="2268"/>
          <w:tab w:val="clear" w:pos="2835"/>
        </w:tabs>
        <w:ind w:left="1134" w:firstLine="0"/>
        <w:rPr>
          <w:b/>
        </w:rPr>
      </w:pPr>
      <w:r w:rsidRPr="003321CD">
        <w:rPr>
          <w:b/>
        </w:rPr>
        <w:t xml:space="preserve">The Committee recommends that the State party consider ratifying the International Convention on the Protection of the Rights of All Migrant Workers and Members of </w:t>
      </w:r>
      <w:r>
        <w:rPr>
          <w:b/>
        </w:rPr>
        <w:t>t</w:t>
      </w:r>
      <w:r w:rsidRPr="003321CD">
        <w:rPr>
          <w:b/>
        </w:rPr>
        <w:t>heir Families and the International Convention for the Protection of All Persons from Enforced Disappearance</w:t>
      </w:r>
      <w:r>
        <w:rPr>
          <w:b/>
        </w:rPr>
        <w:t xml:space="preserve"> in addition to the</w:t>
      </w:r>
      <w:r w:rsidR="00A3036E">
        <w:rPr>
          <w:b/>
        </w:rPr>
        <w:t xml:space="preserve"> </w:t>
      </w:r>
      <w:r>
        <w:rPr>
          <w:b/>
        </w:rPr>
        <w:t>Convention</w:t>
      </w:r>
      <w:r w:rsidR="00DA7307">
        <w:rPr>
          <w:b/>
        </w:rPr>
        <w:t xml:space="preserve"> </w:t>
      </w:r>
      <w:r>
        <w:rPr>
          <w:b/>
        </w:rPr>
        <w:t>Relati</w:t>
      </w:r>
      <w:r w:rsidR="00A302F2">
        <w:rPr>
          <w:b/>
        </w:rPr>
        <w:t>ng</w:t>
      </w:r>
      <w:r w:rsidR="00A3036E">
        <w:rPr>
          <w:b/>
        </w:rPr>
        <w:t xml:space="preserve"> </w:t>
      </w:r>
      <w:r>
        <w:rPr>
          <w:b/>
        </w:rPr>
        <w:t xml:space="preserve">to the Status of Refugees. </w:t>
      </w:r>
    </w:p>
    <w:p w14:paraId="42E46242" w14:textId="77777777" w:rsidR="005D686B" w:rsidRPr="00255FD5" w:rsidRDefault="005D686B" w:rsidP="005D686B">
      <w:pPr>
        <w:pStyle w:val="SingleTxtG"/>
        <w:numPr>
          <w:ilvl w:val="0"/>
          <w:numId w:val="24"/>
        </w:numPr>
        <w:tabs>
          <w:tab w:val="clear" w:pos="1701"/>
          <w:tab w:val="clear" w:pos="2268"/>
          <w:tab w:val="clear" w:pos="2835"/>
        </w:tabs>
        <w:ind w:left="1134" w:firstLine="0"/>
        <w:rPr>
          <w:b/>
        </w:rPr>
      </w:pPr>
      <w:r w:rsidRPr="00255FD5">
        <w:rPr>
          <w:b/>
        </w:rPr>
        <w:t xml:space="preserve">The Committee recommends that the State party take fully into account its recommendation to take fully into account obligations under the Covenant and the objective of full realization of the rights enshrined therein in the implementation of the 2030 Agenda at the national level, including in the recovery from the COVID-19 pandemic. Moreover, the Committee recommends that the State party support the global commitment of the decade of action to achieve the Sustainable Development Goals. Implementing the Goals </w:t>
      </w:r>
      <w:proofErr w:type="gramStart"/>
      <w:r w:rsidRPr="00255FD5">
        <w:rPr>
          <w:b/>
        </w:rPr>
        <w:t>on the basis of</w:t>
      </w:r>
      <w:proofErr w:type="gramEnd"/>
      <w:r w:rsidRPr="00255FD5">
        <w:rPr>
          <w:b/>
        </w:rPr>
        <w:t xml:space="preserve"> the principles of participation, accountability and non-discrimination would ensure that no one is left behind. In this regard, the Committee draws the State party’s attention to its statement on the pledge to leave no one behind. </w:t>
      </w:r>
    </w:p>
    <w:p w14:paraId="4E9A4F20" w14:textId="77777777" w:rsidR="005D686B" w:rsidRDefault="005D686B" w:rsidP="005D686B">
      <w:pPr>
        <w:pStyle w:val="SingleTxtG"/>
        <w:numPr>
          <w:ilvl w:val="0"/>
          <w:numId w:val="24"/>
        </w:numPr>
        <w:tabs>
          <w:tab w:val="clear" w:pos="1701"/>
          <w:tab w:val="clear" w:pos="2268"/>
          <w:tab w:val="clear" w:pos="2835"/>
        </w:tabs>
        <w:ind w:left="1134" w:firstLine="0"/>
        <w:rPr>
          <w:b/>
        </w:rPr>
      </w:pPr>
      <w:r w:rsidRPr="003321CD">
        <w:rPr>
          <w:b/>
        </w:rPr>
        <w:t xml:space="preserve">The Committee requests that the State party disseminate the present concluding observations widely at all levels of </w:t>
      </w:r>
      <w:r w:rsidRPr="00A22BB3">
        <w:rPr>
          <w:b/>
        </w:rPr>
        <w:t>society, including,</w:t>
      </w:r>
      <w:r w:rsidRPr="003321CD">
        <w:rPr>
          <w:b/>
        </w:rPr>
        <w:t xml:space="preserve"> in particular among parliamentarians, public officials and judicial authorities, and that it inform the Committee in its next periodic report about the steps taken to implement them. The Committee encourages the State party to engage with the </w:t>
      </w:r>
      <w:r w:rsidRPr="00061748">
        <w:rPr>
          <w:b/>
        </w:rPr>
        <w:t>National Institution for Human Rights</w:t>
      </w:r>
      <w:r w:rsidRPr="003321CD">
        <w:rPr>
          <w:b/>
        </w:rPr>
        <w:t xml:space="preserve">, non-governmental organizations and other members of civil society in </w:t>
      </w:r>
      <w:r w:rsidRPr="003321CD">
        <w:rPr>
          <w:b/>
        </w:rPr>
        <w:lastRenderedPageBreak/>
        <w:t>the follow-up to the present concluding observations and in the process of consultation at the national level prior to the submission of its next periodic report.</w:t>
      </w:r>
    </w:p>
    <w:p w14:paraId="10DA4D9A" w14:textId="41A767D6" w:rsidR="005D686B" w:rsidRDefault="005D686B" w:rsidP="005D686B">
      <w:pPr>
        <w:pStyle w:val="SingleTxtG"/>
        <w:numPr>
          <w:ilvl w:val="0"/>
          <w:numId w:val="24"/>
        </w:numPr>
        <w:tabs>
          <w:tab w:val="clear" w:pos="1701"/>
          <w:tab w:val="clear" w:pos="2268"/>
          <w:tab w:val="clear" w:pos="2835"/>
        </w:tabs>
        <w:ind w:left="1134" w:firstLine="0"/>
        <w:rPr>
          <w:b/>
        </w:rPr>
      </w:pPr>
      <w:r w:rsidRPr="00AE1876">
        <w:rPr>
          <w:b/>
        </w:rPr>
        <w:t xml:space="preserve">In accordance with the procedure on follow-up to concluding observations adopted by the Committee, the State party is requested to provide, </w:t>
      </w:r>
      <w:r w:rsidRPr="00EB7F71">
        <w:rPr>
          <w:b/>
        </w:rPr>
        <w:t>within 24 months</w:t>
      </w:r>
      <w:r w:rsidRPr="00AE1876">
        <w:rPr>
          <w:b/>
        </w:rPr>
        <w:t xml:space="preserve"> of the adoption of the present concluding observations, information on the implementation of the recommendations contained in paragraph</w:t>
      </w:r>
      <w:r>
        <w:rPr>
          <w:b/>
        </w:rPr>
        <w:t xml:space="preserve">s </w:t>
      </w:r>
      <w:r w:rsidR="001C7361">
        <w:rPr>
          <w:b/>
        </w:rPr>
        <w:t>9</w:t>
      </w:r>
      <w:r w:rsidR="00431D15">
        <w:rPr>
          <w:b/>
        </w:rPr>
        <w:t xml:space="preserve"> (human rights defenders)</w:t>
      </w:r>
      <w:r w:rsidR="001C7361">
        <w:rPr>
          <w:b/>
        </w:rPr>
        <w:t xml:space="preserve">, 15 (a) </w:t>
      </w:r>
      <w:r w:rsidR="00431D15">
        <w:rPr>
          <w:b/>
        </w:rPr>
        <w:t xml:space="preserve">(non-discrimination) </w:t>
      </w:r>
      <w:r w:rsidR="001C7361">
        <w:rPr>
          <w:b/>
        </w:rPr>
        <w:t xml:space="preserve">and 33 (a) </w:t>
      </w:r>
      <w:r w:rsidR="00431D15">
        <w:rPr>
          <w:b/>
        </w:rPr>
        <w:t xml:space="preserve">(protection of children) </w:t>
      </w:r>
      <w:r w:rsidR="001C7361">
        <w:rPr>
          <w:b/>
        </w:rPr>
        <w:t>above</w:t>
      </w:r>
      <w:r w:rsidR="00431D15">
        <w:rPr>
          <w:b/>
        </w:rPr>
        <w:t>.</w:t>
      </w:r>
      <w:r w:rsidR="001C7361">
        <w:rPr>
          <w:b/>
        </w:rPr>
        <w:t xml:space="preserve"> </w:t>
      </w:r>
    </w:p>
    <w:p w14:paraId="21DFD1A8" w14:textId="77777777" w:rsidR="005D686B" w:rsidRPr="003321CD" w:rsidRDefault="005D686B" w:rsidP="005D686B">
      <w:pPr>
        <w:pStyle w:val="SingleTxtG"/>
        <w:numPr>
          <w:ilvl w:val="0"/>
          <w:numId w:val="24"/>
        </w:numPr>
        <w:tabs>
          <w:tab w:val="clear" w:pos="1701"/>
          <w:tab w:val="clear" w:pos="2268"/>
          <w:tab w:val="clear" w:pos="2835"/>
        </w:tabs>
        <w:ind w:left="1134" w:firstLine="0"/>
        <w:rPr>
          <w:b/>
        </w:rPr>
      </w:pPr>
      <w:r w:rsidRPr="00255FD5">
        <w:rPr>
          <w:b/>
        </w:rPr>
        <w:t xml:space="preserve">The Committee requests the State party to submit its number periodic report in accordance with article 16 of the Covenant by 31 March 2027, unless otherwise notified </w:t>
      </w:r>
      <w:proofErr w:type="gramStart"/>
      <w:r w:rsidRPr="00255FD5">
        <w:rPr>
          <w:b/>
        </w:rPr>
        <w:t>as a result</w:t>
      </w:r>
      <w:proofErr w:type="gramEnd"/>
      <w:r w:rsidRPr="00255FD5">
        <w:rPr>
          <w:b/>
        </w:rPr>
        <w:t xml:space="preserve"> of a change in the review cycle. In accordance with General Assembly resolution 68/268, the word limit for the report is 21,200 words</w:t>
      </w:r>
      <w:r w:rsidRPr="003321CD">
        <w:rPr>
          <w:b/>
        </w:rPr>
        <w:t>.</w:t>
      </w:r>
    </w:p>
    <w:p w14:paraId="227AE32A" w14:textId="77777777" w:rsidR="006A4374" w:rsidRPr="005D686B" w:rsidRDefault="005D686B" w:rsidP="005D686B">
      <w:pPr>
        <w:pStyle w:val="SingleTxtG"/>
        <w:spacing w:before="240" w:after="0"/>
        <w:jc w:val="center"/>
        <w:rPr>
          <w:u w:val="single"/>
        </w:rPr>
      </w:pPr>
      <w:r>
        <w:rPr>
          <w:u w:val="single"/>
        </w:rPr>
        <w:tab/>
      </w:r>
      <w:r>
        <w:rPr>
          <w:u w:val="single"/>
        </w:rPr>
        <w:tab/>
      </w:r>
      <w:r>
        <w:rPr>
          <w:u w:val="single"/>
        </w:rPr>
        <w:tab/>
      </w:r>
    </w:p>
    <w:sectPr w:rsidR="006A4374" w:rsidRPr="005D686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BF20C" w14:textId="77777777" w:rsidR="00515CBC" w:rsidRDefault="00515CBC">
      <w:pPr>
        <w:spacing w:line="240" w:lineRule="auto"/>
      </w:pPr>
      <w:r>
        <w:separator/>
      </w:r>
    </w:p>
  </w:endnote>
  <w:endnote w:type="continuationSeparator" w:id="0">
    <w:p w14:paraId="28BB85F1" w14:textId="77777777" w:rsidR="00515CBC" w:rsidRDefault="00515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3DD0" w14:textId="08A1487F" w:rsidR="006A4374" w:rsidRDefault="00CA04C3">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E82A5E">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47E8" w14:textId="660C3CA7" w:rsidR="006A4374" w:rsidRDefault="003309C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E82A5E">
      <w:rPr>
        <w:b/>
        <w:noProof/>
        <w:sz w:val="18"/>
      </w:rPr>
      <w:t>11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949A" w14:textId="77777777" w:rsidR="006A4374" w:rsidRDefault="00CA04C3">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44702742" wp14:editId="1D9EE572">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A014F" w14:paraId="29DF79B0" w14:textId="77777777">
      <w:tc>
        <w:tcPr>
          <w:tcW w:w="1848" w:type="dxa"/>
          <w:vAlign w:val="bottom"/>
        </w:tcPr>
        <w:p w14:paraId="52198C18" w14:textId="77777777" w:rsidR="006A4374" w:rsidRDefault="00CA04C3">
          <w:pPr>
            <w:pStyle w:val="Footer"/>
            <w:spacing w:before="120" w:after="120"/>
            <w:jc w:val="right"/>
          </w:pPr>
          <w:r>
            <w:rPr>
              <w:noProof/>
              <w:sz w:val="20"/>
              <w:lang w:eastAsia="en-GB"/>
            </w:rPr>
            <w:drawing>
              <wp:inline distT="0" distB="0" distL="0" distR="0" wp14:anchorId="73D5116A" wp14:editId="500A08E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39205EBE" w14:textId="77777777" w:rsidR="006A4374" w:rsidRDefault="006A4374">
          <w:pPr>
            <w:pStyle w:val="Footer"/>
            <w:jc w:val="right"/>
          </w:pPr>
        </w:p>
      </w:tc>
    </w:tr>
  </w:tbl>
  <w:p w14:paraId="7D4C2688" w14:textId="77777777" w:rsidR="006A4374" w:rsidRDefault="006A4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3D65A" w14:textId="77777777" w:rsidR="00515CBC" w:rsidRDefault="00515CBC">
      <w:pPr>
        <w:pStyle w:val="Footer"/>
        <w:tabs>
          <w:tab w:val="right" w:pos="2155"/>
        </w:tabs>
        <w:spacing w:after="80" w:line="240" w:lineRule="atLeast"/>
        <w:ind w:left="680"/>
        <w:rPr>
          <w:u w:val="single"/>
        </w:rPr>
      </w:pPr>
      <w:r>
        <w:rPr>
          <w:u w:val="single"/>
        </w:rPr>
        <w:tab/>
      </w:r>
    </w:p>
  </w:footnote>
  <w:footnote w:type="continuationSeparator" w:id="0">
    <w:p w14:paraId="265F2331" w14:textId="77777777" w:rsidR="00515CBC" w:rsidRDefault="00515CBC">
      <w:pPr>
        <w:pStyle w:val="Footer"/>
        <w:tabs>
          <w:tab w:val="right" w:pos="2155"/>
        </w:tabs>
        <w:spacing w:after="80" w:line="240" w:lineRule="atLeast"/>
        <w:ind w:left="680"/>
        <w:rPr>
          <w:u w:val="single"/>
        </w:rPr>
      </w:pPr>
      <w:r>
        <w:rPr>
          <w:u w:val="single"/>
        </w:rPr>
        <w:tab/>
      </w:r>
    </w:p>
  </w:footnote>
  <w:footnote w:type="continuationNotice" w:id="1">
    <w:p w14:paraId="6699234E" w14:textId="77777777" w:rsidR="00515CBC" w:rsidRDefault="00515CBC">
      <w:pPr>
        <w:rPr>
          <w:sz w:val="2"/>
          <w:szCs w:val="2"/>
        </w:rPr>
      </w:pPr>
    </w:p>
  </w:footnote>
  <w:footnote w:id="2">
    <w:p w14:paraId="78BD89E7" w14:textId="77777777" w:rsidR="00A3036E" w:rsidRPr="00C96719" w:rsidRDefault="00A3036E" w:rsidP="00A3036E">
      <w:pPr>
        <w:pStyle w:val="FootnoteText"/>
        <w:rPr>
          <w:lang w:val="en-US"/>
        </w:rPr>
      </w:pPr>
      <w:r>
        <w:rPr>
          <w:rStyle w:val="FootnoteReference"/>
        </w:rPr>
        <w:tab/>
      </w:r>
      <w:r w:rsidRPr="00C96719">
        <w:rPr>
          <w:rStyle w:val="FootnoteReference"/>
          <w:sz w:val="20"/>
        </w:rPr>
        <w:t>*</w:t>
      </w:r>
      <w:r>
        <w:rPr>
          <w:rStyle w:val="FootnoteReference"/>
          <w:sz w:val="20"/>
        </w:rPr>
        <w:tab/>
      </w:r>
      <w:r w:rsidRPr="00F2130F">
        <w:t xml:space="preserve">Adopted by the Committee at its </w:t>
      </w:r>
      <w:r w:rsidRPr="00937A25">
        <w:t>seventy</w:t>
      </w:r>
      <w:r>
        <w:t xml:space="preserve">-first </w:t>
      </w:r>
      <w:r w:rsidRPr="00F2130F">
        <w:t>session (</w:t>
      </w:r>
      <w:r>
        <w:t>14 February – 4 March 2022</w:t>
      </w:r>
      <w:r w:rsidRPr="00F2130F">
        <w:t>).</w:t>
      </w:r>
    </w:p>
  </w:footnote>
  <w:footnote w:id="3">
    <w:p w14:paraId="2521A5C0" w14:textId="5F417942" w:rsidR="005A1FEA" w:rsidRPr="005A1FEA" w:rsidRDefault="005A1FEA">
      <w:pPr>
        <w:pStyle w:val="FootnoteText"/>
        <w:rPr>
          <w:lang w:val="es-ES"/>
        </w:rPr>
      </w:pPr>
      <w:r>
        <w:rPr>
          <w:lang w:val="es-ES"/>
        </w:rPr>
        <w:tab/>
      </w:r>
      <w:r>
        <w:rPr>
          <w:rStyle w:val="FootnoteReference"/>
        </w:rPr>
        <w:footnoteRef/>
      </w:r>
      <w:r>
        <w:rPr>
          <w:lang w:val="es-ES"/>
        </w:rPr>
        <w:tab/>
      </w:r>
      <w:hyperlink r:id="rId1" w:history="1">
        <w:r w:rsidRPr="005A1FEA">
          <w:rPr>
            <w:rStyle w:val="Hyperlink"/>
            <w:lang w:val="es-ES"/>
          </w:rPr>
          <w:t xml:space="preserve"> E/C.12/BHR/1</w:t>
        </w:r>
      </w:hyperlink>
    </w:p>
  </w:footnote>
  <w:footnote w:id="4">
    <w:p w14:paraId="0D01A236" w14:textId="422D1415" w:rsidR="005A1FEA" w:rsidRPr="005A1FEA" w:rsidRDefault="005A1FEA">
      <w:pPr>
        <w:pStyle w:val="FootnoteText"/>
        <w:rPr>
          <w:lang w:val="es-ES"/>
        </w:rPr>
      </w:pPr>
      <w:r>
        <w:rPr>
          <w:lang w:val="es-ES"/>
        </w:rPr>
        <w:tab/>
      </w:r>
      <w:r>
        <w:rPr>
          <w:rStyle w:val="FootnoteReference"/>
        </w:rPr>
        <w:footnoteRef/>
      </w:r>
      <w:r w:rsidRPr="005A1FEA">
        <w:rPr>
          <w:lang w:val="es-ES"/>
        </w:rPr>
        <w:t xml:space="preserve"> </w:t>
      </w:r>
      <w:r>
        <w:rPr>
          <w:lang w:val="es-ES"/>
        </w:rPr>
        <w:tab/>
      </w:r>
      <w:proofErr w:type="spellStart"/>
      <w:r>
        <w:rPr>
          <w:lang w:val="es-ES"/>
        </w:rPr>
        <w:t>S</w:t>
      </w:r>
      <w:r w:rsidRPr="005A1FEA">
        <w:rPr>
          <w:lang w:val="es-ES"/>
        </w:rPr>
        <w:t>ee</w:t>
      </w:r>
      <w:proofErr w:type="spellEnd"/>
      <w:r w:rsidRPr="005A1FEA">
        <w:rPr>
          <w:lang w:val="es-ES"/>
        </w:rPr>
        <w:t xml:space="preserve"> </w:t>
      </w:r>
      <w:hyperlink r:id="rId2" w:history="1">
        <w:r w:rsidRPr="00E82A5E">
          <w:rPr>
            <w:rStyle w:val="Hyperlink"/>
            <w:lang w:val="es-ES"/>
          </w:rPr>
          <w:t>E/C.12/2021/SR.18</w:t>
        </w:r>
      </w:hyperlink>
      <w:r>
        <w:rPr>
          <w:lang w:val="es-ES"/>
        </w:rPr>
        <w:t xml:space="preserve">, </w:t>
      </w:r>
      <w:hyperlink r:id="rId3" w:history="1">
        <w:r w:rsidRPr="00E82A5E">
          <w:rPr>
            <w:rStyle w:val="Hyperlink"/>
            <w:lang w:val="es-ES"/>
          </w:rPr>
          <w:t>E/C.12/2021/SR.19</w:t>
        </w:r>
      </w:hyperlink>
      <w:r>
        <w:rPr>
          <w:lang w:val="es-ES"/>
        </w:rPr>
        <w:t xml:space="preserve"> and </w:t>
      </w:r>
      <w:hyperlink r:id="rId4" w:history="1">
        <w:r w:rsidRPr="00E82A5E">
          <w:rPr>
            <w:rStyle w:val="Hyperlink"/>
            <w:lang w:val="es-ES"/>
          </w:rPr>
          <w:t>E/C.12/2021/SR.20</w:t>
        </w:r>
      </w:hyperlink>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B1DA" w14:textId="6A64BB88" w:rsidR="006A4374" w:rsidRDefault="00A3036E">
    <w:pPr>
      <w:pStyle w:val="Header"/>
    </w:pPr>
    <w:r>
      <w:t>E/C.12/BHR/CO/</w:t>
    </w:r>
    <w:r w:rsidR="003309C9">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B1FB" w14:textId="2D228A33" w:rsidR="006A4374" w:rsidRDefault="00A3036E">
    <w:pPr>
      <w:pStyle w:val="Header"/>
      <w:jc w:val="right"/>
    </w:pPr>
    <w:r>
      <w:t>E/C.12/BHR/CO/</w:t>
    </w:r>
    <w:r w:rsidR="003309C9">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E140" w14:textId="77777777" w:rsidR="006A4374" w:rsidRDefault="006A4374">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EE9A4834">
      <w:start w:val="1"/>
      <w:numFmt w:val="decimal"/>
      <w:lvlText w:val="%1."/>
      <w:lvlJc w:val="left"/>
      <w:pPr>
        <w:tabs>
          <w:tab w:val="num" w:pos="0"/>
        </w:tabs>
        <w:ind w:left="1134" w:firstLine="0"/>
      </w:pPr>
      <w:rPr>
        <w:rFonts w:ascii="Times New Roman" w:hAnsi="Times New Roman" w:hint="default"/>
        <w:b w:val="0"/>
        <w:i w:val="0"/>
        <w:sz w:val="20"/>
      </w:rPr>
    </w:lvl>
    <w:lvl w:ilvl="1" w:tplc="7E0C1946" w:tentative="1">
      <w:start w:val="1"/>
      <w:numFmt w:val="lowerLetter"/>
      <w:lvlText w:val="%2."/>
      <w:lvlJc w:val="left"/>
      <w:pPr>
        <w:tabs>
          <w:tab w:val="num" w:pos="1440"/>
        </w:tabs>
        <w:ind w:left="1440" w:hanging="360"/>
      </w:pPr>
    </w:lvl>
    <w:lvl w:ilvl="2" w:tplc="E5FA47C6" w:tentative="1">
      <w:start w:val="1"/>
      <w:numFmt w:val="lowerRoman"/>
      <w:lvlText w:val="%3."/>
      <w:lvlJc w:val="right"/>
      <w:pPr>
        <w:tabs>
          <w:tab w:val="num" w:pos="2160"/>
        </w:tabs>
        <w:ind w:left="2160" w:hanging="180"/>
      </w:pPr>
    </w:lvl>
    <w:lvl w:ilvl="3" w:tplc="097EA1B6" w:tentative="1">
      <w:start w:val="1"/>
      <w:numFmt w:val="decimal"/>
      <w:lvlText w:val="%4."/>
      <w:lvlJc w:val="left"/>
      <w:pPr>
        <w:tabs>
          <w:tab w:val="num" w:pos="2880"/>
        </w:tabs>
        <w:ind w:left="2880" w:hanging="360"/>
      </w:pPr>
    </w:lvl>
    <w:lvl w:ilvl="4" w:tplc="3F02ACA4" w:tentative="1">
      <w:start w:val="1"/>
      <w:numFmt w:val="lowerLetter"/>
      <w:lvlText w:val="%5."/>
      <w:lvlJc w:val="left"/>
      <w:pPr>
        <w:tabs>
          <w:tab w:val="num" w:pos="3600"/>
        </w:tabs>
        <w:ind w:left="3600" w:hanging="360"/>
      </w:pPr>
    </w:lvl>
    <w:lvl w:ilvl="5" w:tplc="B532C666" w:tentative="1">
      <w:start w:val="1"/>
      <w:numFmt w:val="lowerRoman"/>
      <w:lvlText w:val="%6."/>
      <w:lvlJc w:val="right"/>
      <w:pPr>
        <w:tabs>
          <w:tab w:val="num" w:pos="4320"/>
        </w:tabs>
        <w:ind w:left="4320" w:hanging="180"/>
      </w:pPr>
    </w:lvl>
    <w:lvl w:ilvl="6" w:tplc="DAE41DA0" w:tentative="1">
      <w:start w:val="1"/>
      <w:numFmt w:val="decimal"/>
      <w:lvlText w:val="%7."/>
      <w:lvlJc w:val="left"/>
      <w:pPr>
        <w:tabs>
          <w:tab w:val="num" w:pos="5040"/>
        </w:tabs>
        <w:ind w:left="5040" w:hanging="360"/>
      </w:pPr>
    </w:lvl>
    <w:lvl w:ilvl="7" w:tplc="D8E09A12" w:tentative="1">
      <w:start w:val="1"/>
      <w:numFmt w:val="lowerLetter"/>
      <w:lvlText w:val="%8."/>
      <w:lvlJc w:val="left"/>
      <w:pPr>
        <w:tabs>
          <w:tab w:val="num" w:pos="5760"/>
        </w:tabs>
        <w:ind w:left="5760" w:hanging="360"/>
      </w:pPr>
    </w:lvl>
    <w:lvl w:ilvl="8" w:tplc="52EA5578" w:tentative="1">
      <w:start w:val="1"/>
      <w:numFmt w:val="lowerRoman"/>
      <w:lvlText w:val="%9."/>
      <w:lvlJc w:val="right"/>
      <w:pPr>
        <w:tabs>
          <w:tab w:val="num" w:pos="6480"/>
        </w:tabs>
        <w:ind w:left="6480" w:hanging="180"/>
      </w:pPr>
    </w:lvl>
  </w:abstractNum>
  <w:abstractNum w:abstractNumId="11" w15:restartNumberingAfterBreak="0">
    <w:nsid w:val="0593782C"/>
    <w:multiLevelType w:val="hybridMultilevel"/>
    <w:tmpl w:val="64301A38"/>
    <w:lvl w:ilvl="0" w:tplc="DBE21DD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D954887"/>
    <w:multiLevelType w:val="hybridMultilevel"/>
    <w:tmpl w:val="2B362816"/>
    <w:lvl w:ilvl="0" w:tplc="30DCF5D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51EE2CC" w:tentative="1">
      <w:start w:val="1"/>
      <w:numFmt w:val="lowerLetter"/>
      <w:lvlText w:val="%2."/>
      <w:lvlJc w:val="left"/>
      <w:pPr>
        <w:tabs>
          <w:tab w:val="num" w:pos="1440"/>
        </w:tabs>
        <w:ind w:left="1440" w:hanging="360"/>
      </w:pPr>
    </w:lvl>
    <w:lvl w:ilvl="2" w:tplc="5CFE0562" w:tentative="1">
      <w:start w:val="1"/>
      <w:numFmt w:val="lowerRoman"/>
      <w:lvlText w:val="%3."/>
      <w:lvlJc w:val="right"/>
      <w:pPr>
        <w:tabs>
          <w:tab w:val="num" w:pos="2160"/>
        </w:tabs>
        <w:ind w:left="2160" w:hanging="180"/>
      </w:pPr>
    </w:lvl>
    <w:lvl w:ilvl="3" w:tplc="FA10D91A" w:tentative="1">
      <w:start w:val="1"/>
      <w:numFmt w:val="decimal"/>
      <w:lvlText w:val="%4."/>
      <w:lvlJc w:val="left"/>
      <w:pPr>
        <w:tabs>
          <w:tab w:val="num" w:pos="2880"/>
        </w:tabs>
        <w:ind w:left="2880" w:hanging="360"/>
      </w:pPr>
    </w:lvl>
    <w:lvl w:ilvl="4" w:tplc="53E4B30E" w:tentative="1">
      <w:start w:val="1"/>
      <w:numFmt w:val="lowerLetter"/>
      <w:lvlText w:val="%5."/>
      <w:lvlJc w:val="left"/>
      <w:pPr>
        <w:tabs>
          <w:tab w:val="num" w:pos="3600"/>
        </w:tabs>
        <w:ind w:left="3600" w:hanging="360"/>
      </w:pPr>
    </w:lvl>
    <w:lvl w:ilvl="5" w:tplc="9A32F9CA" w:tentative="1">
      <w:start w:val="1"/>
      <w:numFmt w:val="lowerRoman"/>
      <w:lvlText w:val="%6."/>
      <w:lvlJc w:val="right"/>
      <w:pPr>
        <w:tabs>
          <w:tab w:val="num" w:pos="4320"/>
        </w:tabs>
        <w:ind w:left="4320" w:hanging="180"/>
      </w:pPr>
    </w:lvl>
    <w:lvl w:ilvl="6" w:tplc="428C49B6" w:tentative="1">
      <w:start w:val="1"/>
      <w:numFmt w:val="decimal"/>
      <w:lvlText w:val="%7."/>
      <w:lvlJc w:val="left"/>
      <w:pPr>
        <w:tabs>
          <w:tab w:val="num" w:pos="5040"/>
        </w:tabs>
        <w:ind w:left="5040" w:hanging="360"/>
      </w:pPr>
    </w:lvl>
    <w:lvl w:ilvl="7" w:tplc="496E5B2E" w:tentative="1">
      <w:start w:val="1"/>
      <w:numFmt w:val="lowerLetter"/>
      <w:lvlText w:val="%8."/>
      <w:lvlJc w:val="left"/>
      <w:pPr>
        <w:tabs>
          <w:tab w:val="num" w:pos="5760"/>
        </w:tabs>
        <w:ind w:left="5760" w:hanging="360"/>
      </w:pPr>
    </w:lvl>
    <w:lvl w:ilvl="8" w:tplc="7A687F92" w:tentative="1">
      <w:start w:val="1"/>
      <w:numFmt w:val="lowerRoman"/>
      <w:lvlText w:val="%9."/>
      <w:lvlJc w:val="right"/>
      <w:pPr>
        <w:tabs>
          <w:tab w:val="num" w:pos="6480"/>
        </w:tabs>
        <w:ind w:left="6480" w:hanging="180"/>
      </w:pPr>
    </w:lvl>
  </w:abstractNum>
  <w:abstractNum w:abstractNumId="13" w15:restartNumberingAfterBreak="0">
    <w:nsid w:val="0F782A12"/>
    <w:multiLevelType w:val="hybridMultilevel"/>
    <w:tmpl w:val="568E075A"/>
    <w:lvl w:ilvl="0" w:tplc="0C88111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21C6FBD"/>
    <w:multiLevelType w:val="hybridMultilevel"/>
    <w:tmpl w:val="E4820E70"/>
    <w:lvl w:ilvl="0" w:tplc="3324778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14EA0DFE"/>
    <w:multiLevelType w:val="hybridMultilevel"/>
    <w:tmpl w:val="1C8C909E"/>
    <w:lvl w:ilvl="0" w:tplc="3324778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1E253887"/>
    <w:multiLevelType w:val="hybridMultilevel"/>
    <w:tmpl w:val="497EC7CC"/>
    <w:lvl w:ilvl="0" w:tplc="D2E646DC">
      <w:start w:val="1"/>
      <w:numFmt w:val="bullet"/>
      <w:lvlText w:val="•"/>
      <w:lvlJc w:val="left"/>
      <w:pPr>
        <w:tabs>
          <w:tab w:val="num" w:pos="2268"/>
        </w:tabs>
        <w:ind w:left="2268" w:hanging="170"/>
      </w:pPr>
      <w:rPr>
        <w:rFonts w:ascii="Times New Roman" w:hAnsi="Times New Roman" w:cs="Times New Roman" w:hint="default"/>
      </w:rPr>
    </w:lvl>
    <w:lvl w:ilvl="1" w:tplc="DA741C2A" w:tentative="1">
      <w:start w:val="1"/>
      <w:numFmt w:val="bullet"/>
      <w:lvlText w:val="o"/>
      <w:lvlJc w:val="left"/>
      <w:pPr>
        <w:tabs>
          <w:tab w:val="num" w:pos="1440"/>
        </w:tabs>
        <w:ind w:left="1440" w:hanging="360"/>
      </w:pPr>
      <w:rPr>
        <w:rFonts w:ascii="Courier New" w:hAnsi="Courier New" w:hint="default"/>
      </w:rPr>
    </w:lvl>
    <w:lvl w:ilvl="2" w:tplc="F77C1894" w:tentative="1">
      <w:start w:val="1"/>
      <w:numFmt w:val="bullet"/>
      <w:lvlText w:val=""/>
      <w:lvlJc w:val="left"/>
      <w:pPr>
        <w:tabs>
          <w:tab w:val="num" w:pos="2160"/>
        </w:tabs>
        <w:ind w:left="2160" w:hanging="360"/>
      </w:pPr>
      <w:rPr>
        <w:rFonts w:ascii="Wingdings" w:hAnsi="Wingdings" w:hint="default"/>
      </w:rPr>
    </w:lvl>
    <w:lvl w:ilvl="3" w:tplc="34D2C022" w:tentative="1">
      <w:start w:val="1"/>
      <w:numFmt w:val="bullet"/>
      <w:lvlText w:val=""/>
      <w:lvlJc w:val="left"/>
      <w:pPr>
        <w:tabs>
          <w:tab w:val="num" w:pos="2880"/>
        </w:tabs>
        <w:ind w:left="2880" w:hanging="360"/>
      </w:pPr>
      <w:rPr>
        <w:rFonts w:ascii="Symbol" w:hAnsi="Symbol" w:hint="default"/>
      </w:rPr>
    </w:lvl>
    <w:lvl w:ilvl="4" w:tplc="485A395E" w:tentative="1">
      <w:start w:val="1"/>
      <w:numFmt w:val="bullet"/>
      <w:lvlText w:val="o"/>
      <w:lvlJc w:val="left"/>
      <w:pPr>
        <w:tabs>
          <w:tab w:val="num" w:pos="3600"/>
        </w:tabs>
        <w:ind w:left="3600" w:hanging="360"/>
      </w:pPr>
      <w:rPr>
        <w:rFonts w:ascii="Courier New" w:hAnsi="Courier New" w:hint="default"/>
      </w:rPr>
    </w:lvl>
    <w:lvl w:ilvl="5" w:tplc="45145C84" w:tentative="1">
      <w:start w:val="1"/>
      <w:numFmt w:val="bullet"/>
      <w:lvlText w:val=""/>
      <w:lvlJc w:val="left"/>
      <w:pPr>
        <w:tabs>
          <w:tab w:val="num" w:pos="4320"/>
        </w:tabs>
        <w:ind w:left="4320" w:hanging="360"/>
      </w:pPr>
      <w:rPr>
        <w:rFonts w:ascii="Wingdings" w:hAnsi="Wingdings" w:hint="default"/>
      </w:rPr>
    </w:lvl>
    <w:lvl w:ilvl="6" w:tplc="9232EF36" w:tentative="1">
      <w:start w:val="1"/>
      <w:numFmt w:val="bullet"/>
      <w:lvlText w:val=""/>
      <w:lvlJc w:val="left"/>
      <w:pPr>
        <w:tabs>
          <w:tab w:val="num" w:pos="5040"/>
        </w:tabs>
        <w:ind w:left="5040" w:hanging="360"/>
      </w:pPr>
      <w:rPr>
        <w:rFonts w:ascii="Symbol" w:hAnsi="Symbol" w:hint="default"/>
      </w:rPr>
    </w:lvl>
    <w:lvl w:ilvl="7" w:tplc="9B4A0514" w:tentative="1">
      <w:start w:val="1"/>
      <w:numFmt w:val="bullet"/>
      <w:lvlText w:val="o"/>
      <w:lvlJc w:val="left"/>
      <w:pPr>
        <w:tabs>
          <w:tab w:val="num" w:pos="5760"/>
        </w:tabs>
        <w:ind w:left="5760" w:hanging="360"/>
      </w:pPr>
      <w:rPr>
        <w:rFonts w:ascii="Courier New" w:hAnsi="Courier New" w:hint="default"/>
      </w:rPr>
    </w:lvl>
    <w:lvl w:ilvl="8" w:tplc="0EB0EC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80584"/>
    <w:multiLevelType w:val="hybridMultilevel"/>
    <w:tmpl w:val="3C96A61E"/>
    <w:lvl w:ilvl="0" w:tplc="399A5C9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1A12325"/>
    <w:multiLevelType w:val="hybridMultilevel"/>
    <w:tmpl w:val="FF0E5B48"/>
    <w:lvl w:ilvl="0" w:tplc="08C6FC5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478C24A2" w:tentative="1">
      <w:start w:val="1"/>
      <w:numFmt w:val="bullet"/>
      <w:lvlText w:val="o"/>
      <w:lvlJc w:val="left"/>
      <w:pPr>
        <w:tabs>
          <w:tab w:val="num" w:pos="1440"/>
        </w:tabs>
        <w:ind w:left="1440" w:hanging="360"/>
      </w:pPr>
      <w:rPr>
        <w:rFonts w:ascii="Courier New" w:hAnsi="Courier New" w:hint="default"/>
      </w:rPr>
    </w:lvl>
    <w:lvl w:ilvl="2" w:tplc="B41895D4" w:tentative="1">
      <w:start w:val="1"/>
      <w:numFmt w:val="bullet"/>
      <w:lvlText w:val=""/>
      <w:lvlJc w:val="left"/>
      <w:pPr>
        <w:tabs>
          <w:tab w:val="num" w:pos="2160"/>
        </w:tabs>
        <w:ind w:left="2160" w:hanging="360"/>
      </w:pPr>
      <w:rPr>
        <w:rFonts w:ascii="Wingdings" w:hAnsi="Wingdings" w:hint="default"/>
      </w:rPr>
    </w:lvl>
    <w:lvl w:ilvl="3" w:tplc="8DEE7A86" w:tentative="1">
      <w:start w:val="1"/>
      <w:numFmt w:val="bullet"/>
      <w:lvlText w:val=""/>
      <w:lvlJc w:val="left"/>
      <w:pPr>
        <w:tabs>
          <w:tab w:val="num" w:pos="2880"/>
        </w:tabs>
        <w:ind w:left="2880" w:hanging="360"/>
      </w:pPr>
      <w:rPr>
        <w:rFonts w:ascii="Symbol" w:hAnsi="Symbol" w:hint="default"/>
      </w:rPr>
    </w:lvl>
    <w:lvl w:ilvl="4" w:tplc="C3AACCB0" w:tentative="1">
      <w:start w:val="1"/>
      <w:numFmt w:val="bullet"/>
      <w:lvlText w:val="o"/>
      <w:lvlJc w:val="left"/>
      <w:pPr>
        <w:tabs>
          <w:tab w:val="num" w:pos="3600"/>
        </w:tabs>
        <w:ind w:left="3600" w:hanging="360"/>
      </w:pPr>
      <w:rPr>
        <w:rFonts w:ascii="Courier New" w:hAnsi="Courier New" w:hint="default"/>
      </w:rPr>
    </w:lvl>
    <w:lvl w:ilvl="5" w:tplc="F62EE2F8" w:tentative="1">
      <w:start w:val="1"/>
      <w:numFmt w:val="bullet"/>
      <w:lvlText w:val=""/>
      <w:lvlJc w:val="left"/>
      <w:pPr>
        <w:tabs>
          <w:tab w:val="num" w:pos="4320"/>
        </w:tabs>
        <w:ind w:left="4320" w:hanging="360"/>
      </w:pPr>
      <w:rPr>
        <w:rFonts w:ascii="Wingdings" w:hAnsi="Wingdings" w:hint="default"/>
      </w:rPr>
    </w:lvl>
    <w:lvl w:ilvl="6" w:tplc="C480EE4E" w:tentative="1">
      <w:start w:val="1"/>
      <w:numFmt w:val="bullet"/>
      <w:lvlText w:val=""/>
      <w:lvlJc w:val="left"/>
      <w:pPr>
        <w:tabs>
          <w:tab w:val="num" w:pos="5040"/>
        </w:tabs>
        <w:ind w:left="5040" w:hanging="360"/>
      </w:pPr>
      <w:rPr>
        <w:rFonts w:ascii="Symbol" w:hAnsi="Symbol" w:hint="default"/>
      </w:rPr>
    </w:lvl>
    <w:lvl w:ilvl="7" w:tplc="BBD8E724" w:tentative="1">
      <w:start w:val="1"/>
      <w:numFmt w:val="bullet"/>
      <w:lvlText w:val="o"/>
      <w:lvlJc w:val="left"/>
      <w:pPr>
        <w:tabs>
          <w:tab w:val="num" w:pos="5760"/>
        </w:tabs>
        <w:ind w:left="5760" w:hanging="360"/>
      </w:pPr>
      <w:rPr>
        <w:rFonts w:ascii="Courier New" w:hAnsi="Courier New" w:hint="default"/>
      </w:rPr>
    </w:lvl>
    <w:lvl w:ilvl="8" w:tplc="DDEAF6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80F64"/>
    <w:multiLevelType w:val="hybridMultilevel"/>
    <w:tmpl w:val="36FA6E8C"/>
    <w:lvl w:ilvl="0" w:tplc="5840233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3ACF4EB2"/>
    <w:multiLevelType w:val="hybridMultilevel"/>
    <w:tmpl w:val="CB6C816A"/>
    <w:lvl w:ilvl="0" w:tplc="D3B2FA6A">
      <w:start w:val="1"/>
      <w:numFmt w:val="bullet"/>
      <w:pStyle w:val="Bullet2G"/>
      <w:lvlText w:val="•"/>
      <w:lvlJc w:val="left"/>
      <w:pPr>
        <w:tabs>
          <w:tab w:val="num" w:pos="2268"/>
        </w:tabs>
        <w:ind w:left="2268" w:hanging="170"/>
      </w:pPr>
      <w:rPr>
        <w:rFonts w:ascii="Times New Roman" w:hAnsi="Times New Roman" w:cs="Times New Roman" w:hint="default"/>
      </w:rPr>
    </w:lvl>
    <w:lvl w:ilvl="1" w:tplc="653ABCD6" w:tentative="1">
      <w:start w:val="1"/>
      <w:numFmt w:val="bullet"/>
      <w:lvlText w:val="o"/>
      <w:lvlJc w:val="left"/>
      <w:pPr>
        <w:tabs>
          <w:tab w:val="num" w:pos="3708"/>
        </w:tabs>
        <w:ind w:left="3708" w:hanging="360"/>
      </w:pPr>
      <w:rPr>
        <w:rFonts w:ascii="Courier New" w:hAnsi="Courier New" w:hint="default"/>
      </w:rPr>
    </w:lvl>
    <w:lvl w:ilvl="2" w:tplc="13B2D48E" w:tentative="1">
      <w:start w:val="1"/>
      <w:numFmt w:val="bullet"/>
      <w:lvlText w:val=""/>
      <w:lvlJc w:val="left"/>
      <w:pPr>
        <w:tabs>
          <w:tab w:val="num" w:pos="4428"/>
        </w:tabs>
        <w:ind w:left="4428" w:hanging="360"/>
      </w:pPr>
      <w:rPr>
        <w:rFonts w:ascii="Wingdings" w:hAnsi="Wingdings" w:hint="default"/>
      </w:rPr>
    </w:lvl>
    <w:lvl w:ilvl="3" w:tplc="FB06C0F0" w:tentative="1">
      <w:start w:val="1"/>
      <w:numFmt w:val="bullet"/>
      <w:lvlText w:val=""/>
      <w:lvlJc w:val="left"/>
      <w:pPr>
        <w:tabs>
          <w:tab w:val="num" w:pos="5148"/>
        </w:tabs>
        <w:ind w:left="5148" w:hanging="360"/>
      </w:pPr>
      <w:rPr>
        <w:rFonts w:ascii="Symbol" w:hAnsi="Symbol" w:hint="default"/>
      </w:rPr>
    </w:lvl>
    <w:lvl w:ilvl="4" w:tplc="594AD73A" w:tentative="1">
      <w:start w:val="1"/>
      <w:numFmt w:val="bullet"/>
      <w:lvlText w:val="o"/>
      <w:lvlJc w:val="left"/>
      <w:pPr>
        <w:tabs>
          <w:tab w:val="num" w:pos="5868"/>
        </w:tabs>
        <w:ind w:left="5868" w:hanging="360"/>
      </w:pPr>
      <w:rPr>
        <w:rFonts w:ascii="Courier New" w:hAnsi="Courier New" w:hint="default"/>
      </w:rPr>
    </w:lvl>
    <w:lvl w:ilvl="5" w:tplc="88DE3346" w:tentative="1">
      <w:start w:val="1"/>
      <w:numFmt w:val="bullet"/>
      <w:lvlText w:val=""/>
      <w:lvlJc w:val="left"/>
      <w:pPr>
        <w:tabs>
          <w:tab w:val="num" w:pos="6588"/>
        </w:tabs>
        <w:ind w:left="6588" w:hanging="360"/>
      </w:pPr>
      <w:rPr>
        <w:rFonts w:ascii="Wingdings" w:hAnsi="Wingdings" w:hint="default"/>
      </w:rPr>
    </w:lvl>
    <w:lvl w:ilvl="6" w:tplc="9402BB24" w:tentative="1">
      <w:start w:val="1"/>
      <w:numFmt w:val="bullet"/>
      <w:lvlText w:val=""/>
      <w:lvlJc w:val="left"/>
      <w:pPr>
        <w:tabs>
          <w:tab w:val="num" w:pos="7308"/>
        </w:tabs>
        <w:ind w:left="7308" w:hanging="360"/>
      </w:pPr>
      <w:rPr>
        <w:rFonts w:ascii="Symbol" w:hAnsi="Symbol" w:hint="default"/>
      </w:rPr>
    </w:lvl>
    <w:lvl w:ilvl="7" w:tplc="00DA2096" w:tentative="1">
      <w:start w:val="1"/>
      <w:numFmt w:val="bullet"/>
      <w:lvlText w:val="o"/>
      <w:lvlJc w:val="left"/>
      <w:pPr>
        <w:tabs>
          <w:tab w:val="num" w:pos="8028"/>
        </w:tabs>
        <w:ind w:left="8028" w:hanging="360"/>
      </w:pPr>
      <w:rPr>
        <w:rFonts w:ascii="Courier New" w:hAnsi="Courier New" w:hint="default"/>
      </w:rPr>
    </w:lvl>
    <w:lvl w:ilvl="8" w:tplc="72C0A3B6"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402D4507"/>
    <w:multiLevelType w:val="hybridMultilevel"/>
    <w:tmpl w:val="D0560F6E"/>
    <w:lvl w:ilvl="0" w:tplc="3324778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5B377E9"/>
    <w:multiLevelType w:val="hybridMultilevel"/>
    <w:tmpl w:val="857417C8"/>
    <w:lvl w:ilvl="0" w:tplc="BEF6784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B33239"/>
    <w:multiLevelType w:val="hybridMultilevel"/>
    <w:tmpl w:val="BE463722"/>
    <w:lvl w:ilvl="0" w:tplc="3324778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AD07B2"/>
    <w:multiLevelType w:val="hybridMultilevel"/>
    <w:tmpl w:val="7FEE3222"/>
    <w:lvl w:ilvl="0" w:tplc="108E5CFE">
      <w:start w:val="1"/>
      <w:numFmt w:val="bullet"/>
      <w:pStyle w:val="Bullet1G"/>
      <w:lvlText w:val="•"/>
      <w:lvlJc w:val="left"/>
      <w:pPr>
        <w:tabs>
          <w:tab w:val="num" w:pos="1701"/>
        </w:tabs>
        <w:ind w:left="1701" w:hanging="170"/>
      </w:pPr>
      <w:rPr>
        <w:rFonts w:ascii="Times New Roman" w:hAnsi="Times New Roman" w:cs="Times New Roman" w:hint="default"/>
      </w:rPr>
    </w:lvl>
    <w:lvl w:ilvl="1" w:tplc="D180D314" w:tentative="1">
      <w:start w:val="1"/>
      <w:numFmt w:val="bullet"/>
      <w:lvlText w:val="o"/>
      <w:lvlJc w:val="left"/>
      <w:pPr>
        <w:tabs>
          <w:tab w:val="num" w:pos="3141"/>
        </w:tabs>
        <w:ind w:left="3141" w:hanging="360"/>
      </w:pPr>
      <w:rPr>
        <w:rFonts w:ascii="Courier New" w:hAnsi="Courier New" w:hint="default"/>
      </w:rPr>
    </w:lvl>
    <w:lvl w:ilvl="2" w:tplc="26004066" w:tentative="1">
      <w:start w:val="1"/>
      <w:numFmt w:val="bullet"/>
      <w:lvlText w:val=""/>
      <w:lvlJc w:val="left"/>
      <w:pPr>
        <w:tabs>
          <w:tab w:val="num" w:pos="3861"/>
        </w:tabs>
        <w:ind w:left="3861" w:hanging="360"/>
      </w:pPr>
      <w:rPr>
        <w:rFonts w:ascii="Wingdings" w:hAnsi="Wingdings" w:hint="default"/>
      </w:rPr>
    </w:lvl>
    <w:lvl w:ilvl="3" w:tplc="15804D9C" w:tentative="1">
      <w:start w:val="1"/>
      <w:numFmt w:val="bullet"/>
      <w:lvlText w:val=""/>
      <w:lvlJc w:val="left"/>
      <w:pPr>
        <w:tabs>
          <w:tab w:val="num" w:pos="4581"/>
        </w:tabs>
        <w:ind w:left="4581" w:hanging="360"/>
      </w:pPr>
      <w:rPr>
        <w:rFonts w:ascii="Symbol" w:hAnsi="Symbol" w:hint="default"/>
      </w:rPr>
    </w:lvl>
    <w:lvl w:ilvl="4" w:tplc="AFD072B8" w:tentative="1">
      <w:start w:val="1"/>
      <w:numFmt w:val="bullet"/>
      <w:lvlText w:val="o"/>
      <w:lvlJc w:val="left"/>
      <w:pPr>
        <w:tabs>
          <w:tab w:val="num" w:pos="5301"/>
        </w:tabs>
        <w:ind w:left="5301" w:hanging="360"/>
      </w:pPr>
      <w:rPr>
        <w:rFonts w:ascii="Courier New" w:hAnsi="Courier New" w:hint="default"/>
      </w:rPr>
    </w:lvl>
    <w:lvl w:ilvl="5" w:tplc="9A2641FE" w:tentative="1">
      <w:start w:val="1"/>
      <w:numFmt w:val="bullet"/>
      <w:lvlText w:val=""/>
      <w:lvlJc w:val="left"/>
      <w:pPr>
        <w:tabs>
          <w:tab w:val="num" w:pos="6021"/>
        </w:tabs>
        <w:ind w:left="6021" w:hanging="360"/>
      </w:pPr>
      <w:rPr>
        <w:rFonts w:ascii="Wingdings" w:hAnsi="Wingdings" w:hint="default"/>
      </w:rPr>
    </w:lvl>
    <w:lvl w:ilvl="6" w:tplc="099A9434" w:tentative="1">
      <w:start w:val="1"/>
      <w:numFmt w:val="bullet"/>
      <w:lvlText w:val=""/>
      <w:lvlJc w:val="left"/>
      <w:pPr>
        <w:tabs>
          <w:tab w:val="num" w:pos="6741"/>
        </w:tabs>
        <w:ind w:left="6741" w:hanging="360"/>
      </w:pPr>
      <w:rPr>
        <w:rFonts w:ascii="Symbol" w:hAnsi="Symbol" w:hint="default"/>
      </w:rPr>
    </w:lvl>
    <w:lvl w:ilvl="7" w:tplc="3DF201C2" w:tentative="1">
      <w:start w:val="1"/>
      <w:numFmt w:val="bullet"/>
      <w:lvlText w:val="o"/>
      <w:lvlJc w:val="left"/>
      <w:pPr>
        <w:tabs>
          <w:tab w:val="num" w:pos="7461"/>
        </w:tabs>
        <w:ind w:left="7461" w:hanging="360"/>
      </w:pPr>
      <w:rPr>
        <w:rFonts w:ascii="Courier New" w:hAnsi="Courier New" w:hint="default"/>
      </w:rPr>
    </w:lvl>
    <w:lvl w:ilvl="8" w:tplc="DEE227CA"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98D239A"/>
    <w:multiLevelType w:val="hybridMultilevel"/>
    <w:tmpl w:val="CA06D4FE"/>
    <w:lvl w:ilvl="0" w:tplc="CB74DE6A">
      <w:start w:val="1"/>
      <w:numFmt w:val="decimal"/>
      <w:lvlText w:val="%1."/>
      <w:lvlJc w:val="left"/>
      <w:pPr>
        <w:ind w:left="3054" w:hanging="360"/>
      </w:pPr>
      <w:rPr>
        <w:rFonts w:hint="default"/>
        <w:b w:val="0"/>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E18663C"/>
    <w:multiLevelType w:val="hybridMultilevel"/>
    <w:tmpl w:val="C3AC359A"/>
    <w:lvl w:ilvl="0" w:tplc="33247788">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73BF3D9C"/>
    <w:multiLevelType w:val="hybridMultilevel"/>
    <w:tmpl w:val="0D8ACFF2"/>
    <w:lvl w:ilvl="0" w:tplc="332477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8AC430B"/>
    <w:multiLevelType w:val="hybridMultilevel"/>
    <w:tmpl w:val="E7C65EFC"/>
    <w:lvl w:ilvl="0" w:tplc="D4C2B98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7D23041C"/>
    <w:multiLevelType w:val="hybridMultilevel"/>
    <w:tmpl w:val="35A2EB30"/>
    <w:lvl w:ilvl="0" w:tplc="319466A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7"/>
  </w:num>
  <w:num w:numId="2">
    <w:abstractNumId w:val="2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16"/>
  </w:num>
  <w:num w:numId="16">
    <w:abstractNumId w:val="10"/>
  </w:num>
  <w:num w:numId="17">
    <w:abstractNumId w:val="25"/>
  </w:num>
  <w:num w:numId="18">
    <w:abstractNumId w:val="26"/>
  </w:num>
  <w:num w:numId="19">
    <w:abstractNumId w:val="23"/>
  </w:num>
  <w:num w:numId="20">
    <w:abstractNumId w:val="31"/>
  </w:num>
  <w:num w:numId="21">
    <w:abstractNumId w:val="27"/>
  </w:num>
  <w:num w:numId="22">
    <w:abstractNumId w:val="20"/>
  </w:num>
  <w:num w:numId="23">
    <w:abstractNumId w:val="12"/>
  </w:num>
  <w:num w:numId="24">
    <w:abstractNumId w:val="28"/>
  </w:num>
  <w:num w:numId="25">
    <w:abstractNumId w:val="30"/>
  </w:num>
  <w:num w:numId="26">
    <w:abstractNumId w:val="32"/>
  </w:num>
  <w:num w:numId="27">
    <w:abstractNumId w:val="19"/>
  </w:num>
  <w:num w:numId="28">
    <w:abstractNumId w:val="13"/>
  </w:num>
  <w:num w:numId="29">
    <w:abstractNumId w:val="22"/>
  </w:num>
  <w:num w:numId="30">
    <w:abstractNumId w:val="11"/>
  </w:num>
  <w:num w:numId="31">
    <w:abstractNumId w:val="33"/>
  </w:num>
  <w:num w:numId="32">
    <w:abstractNumId w:val="15"/>
  </w:num>
  <w:num w:numId="33">
    <w:abstractNumId w:val="14"/>
  </w:num>
  <w:num w:numId="34">
    <w:abstractNumId w:val="21"/>
  </w:num>
  <w:num w:numId="35">
    <w:abstractNumId w:val="24"/>
  </w:num>
  <w:num w:numId="36">
    <w:abstractNumId w:val="2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74"/>
    <w:rsid w:val="00011815"/>
    <w:rsid w:val="00101CCB"/>
    <w:rsid w:val="001C7361"/>
    <w:rsid w:val="001C7CE5"/>
    <w:rsid w:val="003309C9"/>
    <w:rsid w:val="003539F7"/>
    <w:rsid w:val="003A33FF"/>
    <w:rsid w:val="003B15B5"/>
    <w:rsid w:val="00431D15"/>
    <w:rsid w:val="00465F4C"/>
    <w:rsid w:val="00504D73"/>
    <w:rsid w:val="00515CBC"/>
    <w:rsid w:val="00551995"/>
    <w:rsid w:val="005A1FEA"/>
    <w:rsid w:val="005D56C9"/>
    <w:rsid w:val="005D686B"/>
    <w:rsid w:val="00631ABE"/>
    <w:rsid w:val="0066310E"/>
    <w:rsid w:val="00673D80"/>
    <w:rsid w:val="006A4374"/>
    <w:rsid w:val="006E3B8B"/>
    <w:rsid w:val="00747BD1"/>
    <w:rsid w:val="00784FA6"/>
    <w:rsid w:val="00786A14"/>
    <w:rsid w:val="007A38A3"/>
    <w:rsid w:val="0081400F"/>
    <w:rsid w:val="00856407"/>
    <w:rsid w:val="0086392F"/>
    <w:rsid w:val="008E4758"/>
    <w:rsid w:val="009477C2"/>
    <w:rsid w:val="00951595"/>
    <w:rsid w:val="009554D1"/>
    <w:rsid w:val="00966492"/>
    <w:rsid w:val="00A302F2"/>
    <w:rsid w:val="00A3036E"/>
    <w:rsid w:val="00A655BA"/>
    <w:rsid w:val="00B02BBB"/>
    <w:rsid w:val="00B83E9B"/>
    <w:rsid w:val="00B9385F"/>
    <w:rsid w:val="00BA014F"/>
    <w:rsid w:val="00BB01B8"/>
    <w:rsid w:val="00CA04C3"/>
    <w:rsid w:val="00CC5AC5"/>
    <w:rsid w:val="00CC7A77"/>
    <w:rsid w:val="00CD7A9F"/>
    <w:rsid w:val="00D02867"/>
    <w:rsid w:val="00D2709A"/>
    <w:rsid w:val="00D315EF"/>
    <w:rsid w:val="00D43A6E"/>
    <w:rsid w:val="00D95CC2"/>
    <w:rsid w:val="00DA7307"/>
    <w:rsid w:val="00DF7708"/>
    <w:rsid w:val="00E1624F"/>
    <w:rsid w:val="00E32F8A"/>
    <w:rsid w:val="00E82A5E"/>
    <w:rsid w:val="00EB7F71"/>
    <w:rsid w:val="00EE27DE"/>
    <w:rsid w:val="00EF2B1D"/>
    <w:rsid w:val="00EF3DE3"/>
    <w:rsid w:val="00F15A52"/>
    <w:rsid w:val="00F625E6"/>
    <w:rsid w:val="00F717D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CDB5"/>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92"/>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Texto de nota al pie,Appel note de bas de page,referencia nota al pie,BVI fnr,Footnote number,Ref. de nota al pie.,16 Point,Superscript 6 Point,Texto nota al pie,Footnote Reference Char3,Footnote symbol,fusnot Char"/>
    <w:basedOn w:val="DefaultParagraphFont"/>
    <w:link w:val="BVIfnrCar1CarCarCarCar"/>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Footnote Text Char Char,Fußnote,Footnote,Footnote Text Char1 Char,Footnote Text Char1 Char Char Char,Footnote Text Char Char Char Char Char,Footnote Text Char1 Char1 Char,fn,Reference,A,ft,f,ADB,F1,Char2"/>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Footnote Text Char Char Char1,Fußnote Char,Footnote Char,Footnote Text Char1 Char Char,Footnote Text Char1 Char Char Char Char,Footnote Text Char Char Char Char Char Char,fn Char,A Char"/>
    <w:basedOn w:val="DefaultParagraphFont"/>
    <w:link w:val="FootnoteText"/>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EF3DE3"/>
    <w:rPr>
      <w:sz w:val="16"/>
      <w:szCs w:val="16"/>
    </w:rPr>
  </w:style>
  <w:style w:type="paragraph" w:styleId="CommentText">
    <w:name w:val="annotation text"/>
    <w:basedOn w:val="Normal"/>
    <w:link w:val="CommentTextChar"/>
    <w:uiPriority w:val="99"/>
    <w:semiHidden/>
    <w:unhideWhenUsed/>
    <w:rsid w:val="00EF3DE3"/>
    <w:pPr>
      <w:spacing w:line="240" w:lineRule="auto"/>
    </w:pPr>
  </w:style>
  <w:style w:type="character" w:customStyle="1" w:styleId="CommentTextChar">
    <w:name w:val="Comment Text Char"/>
    <w:basedOn w:val="DefaultParagraphFont"/>
    <w:link w:val="CommentText"/>
    <w:uiPriority w:val="99"/>
    <w:semiHidden/>
    <w:rsid w:val="00EF3DE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F3DE3"/>
    <w:rPr>
      <w:b/>
      <w:bCs/>
    </w:rPr>
  </w:style>
  <w:style w:type="character" w:customStyle="1" w:styleId="CommentSubjectChar">
    <w:name w:val="Comment Subject Char"/>
    <w:basedOn w:val="CommentTextChar"/>
    <w:link w:val="CommentSubject"/>
    <w:uiPriority w:val="99"/>
    <w:semiHidden/>
    <w:rsid w:val="00EF3DE3"/>
    <w:rPr>
      <w:rFonts w:ascii="Times New Roman" w:eastAsia="Times New Roman" w:hAnsi="Times New Roman" w:cs="Times New Roman"/>
      <w:b/>
      <w:bCs/>
      <w:sz w:val="20"/>
      <w:szCs w:val="20"/>
      <w:lang w:val="en-GB"/>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rsid w:val="00A3036E"/>
    <w:pPr>
      <w:suppressAutoHyphens w:val="0"/>
      <w:spacing w:before="200" w:after="160" w:line="240" w:lineRule="exact"/>
    </w:pPr>
    <w:rPr>
      <w:rFonts w:eastAsiaTheme="minorHAnsi" w:cstheme="minorBidi"/>
      <w:sz w:val="18"/>
      <w:szCs w:val="22"/>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rsid w:val="005A1FEA"/>
    <w:pPr>
      <w:suppressAutoHyphens w:val="0"/>
      <w:spacing w:after="160" w:line="240" w:lineRule="exact"/>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2fC.12%2f2022%2fSR.19&amp;Lang=en" TargetMode="External"/><Relationship Id="rId2" Type="http://schemas.openxmlformats.org/officeDocument/2006/relationships/hyperlink" Target="https://tbinternet.ohchr.org/_layouts/15/treatybodyexternal/Download.aspx?symbolno=E%2fC.12%2f2022%2fSR.18&amp;Lang=en" TargetMode="External"/><Relationship Id="rId1" Type="http://schemas.openxmlformats.org/officeDocument/2006/relationships/hyperlink" Target="https://tbinternet.ohchr.org/_layouts/15/treatybodyexternal/Download.aspx?symbolno=E%2fC.12%2fBHR%2f1&amp;Lang=en" TargetMode="External"/><Relationship Id="rId4" Type="http://schemas.openxmlformats.org/officeDocument/2006/relationships/hyperlink" Target="https://tbinternet.ohchr.org/_layouts/15/treatybodyexternal/Download.aspx?symbolno=%2fC.12%2f2022%2fSR.2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74F57-420D-4621-8173-D945B4C9B7D9}">
  <ds:schemaRefs>
    <ds:schemaRef ds:uri="http://schemas.microsoft.com/sharepoint/v3/contenttype/forms"/>
  </ds:schemaRefs>
</ds:datastoreItem>
</file>

<file path=customXml/itemProps2.xml><?xml version="1.0" encoding="utf-8"?>
<ds:datastoreItem xmlns:ds="http://schemas.openxmlformats.org/officeDocument/2006/customXml" ds:itemID="{81EFEF54-3E46-440A-B84C-C1D13621212E}"/>
</file>

<file path=customXml/itemProps3.xml><?xml version="1.0" encoding="utf-8"?>
<ds:datastoreItem xmlns:ds="http://schemas.openxmlformats.org/officeDocument/2006/customXml" ds:itemID="{395207CF-E480-4FA2-9F09-499CA73DB9B8}">
  <ds:schemaRefs>
    <ds:schemaRef ds:uri="c11320bd-0376-468b-ae19-b827459cb638"/>
    <ds:schemaRef ds:uri="http://schemas.microsoft.com/office/2006/documentManagement/types"/>
    <ds:schemaRef ds:uri="http://schemas.microsoft.com/office/infopath/2007/PartnerControls"/>
    <ds:schemaRef ds:uri="http://purl.org/dc/elements/1.1/"/>
    <ds:schemaRef ds:uri="http://schemas.microsoft.com/office/2006/metadata/properties"/>
    <ds:schemaRef ds:uri="c897859b-c95c-4367-a7a2-639c24a5e29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ECED74E-FB4F-4B29-8449-DFE19C9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5333</Words>
  <Characters>30400</Characters>
  <Application>Microsoft Office Word</Application>
  <DocSecurity>0</DocSecurity>
  <Lines>253</Lines>
  <Paragraphs>71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E/C.12/BHR/CO/R.1</vt:lpstr>
      <vt:lpstr/>
      <vt:lpstr/>
    </vt:vector>
  </TitlesOfParts>
  <Company>DCM</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E/C.12/BHR/CO/R.1</dc:title>
  <dc:creator>Gloria</dc:creator>
  <cp:lastModifiedBy>REYNAUD Céline</cp:lastModifiedBy>
  <cp:revision>6</cp:revision>
  <cp:lastPrinted>2017-10-25T12:09:00Z</cp:lastPrinted>
  <dcterms:created xsi:type="dcterms:W3CDTF">2022-03-04T14:41:00Z</dcterms:created>
  <dcterms:modified xsi:type="dcterms:W3CDTF">2022-03-07T14:58:00Z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CESCR</vt:lpwstr>
  </property>
  <property fmtid="{D5CDD505-2E9C-101B-9397-08002B2CF9AE}" pid="7" name="ContentTypeId">
    <vt:lpwstr>0x010100B5446AB3680AD04583FFC0D2A3BEC2EA</vt:lpwstr>
  </property>
  <property fmtid="{D5CDD505-2E9C-101B-9397-08002B2CF9AE}" pid="8" name="count">
    <vt:lpwstr>Bahrain</vt:lpwstr>
  </property>
  <property fmtid="{D5CDD505-2E9C-101B-9397-08002B2CF9AE}" pid="9" name="countw">
    <vt:lpwstr>Bahrain</vt:lpwstr>
  </property>
  <property fmtid="{D5CDD505-2E9C-101B-9397-08002B2CF9AE}" pid="10" name="countwd">
    <vt:lpwstr>Bahrain</vt:lpwstr>
  </property>
  <property fmtid="{D5CDD505-2E9C-101B-9397-08002B2CF9AE}" pid="11" name="date">
    <vt:lpwstr>5 January 2022</vt:lpwstr>
  </property>
  <property fmtid="{D5CDD505-2E9C-101B-9397-08002B2CF9AE}" pid="12" name="Date-Generated">
    <vt:filetime>2022-01-06T08:32:46Z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164800</vt:r8>
  </property>
  <property fmtid="{D5CDD505-2E9C-101B-9397-08002B2CF9AE}" pid="21" name="Org">
    <vt:lpwstr>OHCHR</vt:lpwstr>
  </property>
  <property fmtid="{D5CDD505-2E9C-101B-9397-08002B2CF9AE}" pid="22" name="prep">
    <vt:lpwstr>initial report of Bahrain</vt:lpwstr>
  </property>
  <property fmtid="{D5CDD505-2E9C-101B-9397-08002B2CF9AE}" pid="23" name="preps">
    <vt:lpwstr>initial report of Bahrain</vt:lpwstr>
  </property>
  <property fmtid="{D5CDD505-2E9C-101B-9397-08002B2CF9AE}" pid="24" name="prepw">
    <vt:lpwstr>initial report</vt:lpwstr>
  </property>
  <property fmtid="{D5CDD505-2E9C-101B-9397-08002B2CF9AE}" pid="25" name="prepwc">
    <vt:lpwstr>Initial report</vt:lpwstr>
  </property>
  <property fmtid="{D5CDD505-2E9C-101B-9397-08002B2CF9AE}" pid="26" name="prepws">
    <vt:lpwstr>initial report</vt:lpwstr>
  </property>
  <property fmtid="{D5CDD505-2E9C-101B-9397-08002B2CF9AE}" pid="27" name="sdate">
    <vt:lpwstr>[Start-End Dates]</vt:lpwstr>
  </property>
  <property fmtid="{D5CDD505-2E9C-101B-9397-08002B2CF9AE}" pid="28" name="snum">
    <vt:lpwstr>[NUMBER]</vt:lpwstr>
  </property>
  <property fmtid="{D5CDD505-2E9C-101B-9397-08002B2CF9AE}" pid="29" name="stitle">
    <vt:lpwstr>[Title]</vt:lpwstr>
  </property>
  <property fmtid="{D5CDD505-2E9C-101B-9397-08002B2CF9AE}" pid="30" name="sym1">
    <vt:lpwstr>C.12/BHR/CO/R.1</vt:lpwstr>
  </property>
  <property fmtid="{D5CDD505-2E9C-101B-9397-08002B2CF9AE}" pid="31" name="symh">
    <vt:lpwstr>E/C.12/BHR/CO/R.1</vt:lpwstr>
  </property>
  <property fmtid="{D5CDD505-2E9C-101B-9397-08002B2CF9AE}" pid="32" name="Title">
    <vt:lpwstr>E/C.12/BHR/CO/R.1</vt:lpwstr>
  </property>
  <property fmtid="{D5CDD505-2E9C-101B-9397-08002B2CF9AE}" pid="33" name="tlang">
    <vt:lpwstr/>
  </property>
  <property fmtid="{D5CDD505-2E9C-101B-9397-08002B2CF9AE}" pid="34" name="virs">
    <vt:lpwstr>English, French and Spanish only</vt:lpwstr>
  </property>
</Properties>
</file>